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41FDB" w14:textId="0C7D5105" w:rsidR="007560A9" w:rsidRDefault="00483114">
      <w:pPr>
        <w:jc w:val="center"/>
        <w:rPr>
          <w:sz w:val="20"/>
          <w:szCs w:val="20"/>
        </w:rPr>
      </w:pPr>
      <w:r>
        <w:rPr>
          <w:rFonts w:ascii="Arial" w:hAnsi="Arial" w:cs="Arial"/>
          <w:b/>
          <w:noProof/>
          <w:sz w:val="20"/>
          <w:szCs w:val="20"/>
          <w:lang w:val="bs-Latn-BA" w:eastAsia="bs-Latn-BA"/>
        </w:rPr>
        <w:drawing>
          <wp:inline distT="0" distB="0" distL="0" distR="0" wp14:anchorId="190A8284" wp14:editId="433DCBE8">
            <wp:extent cx="2286000" cy="1371550"/>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21200" cy="1392669"/>
                    </a:xfrm>
                    <a:prstGeom prst="rect">
                      <a:avLst/>
                    </a:prstGeom>
                  </pic:spPr>
                </pic:pic>
              </a:graphicData>
            </a:graphic>
          </wp:inline>
        </w:drawing>
      </w:r>
    </w:p>
    <w:p w14:paraId="17D40E02" w14:textId="7D97C0ED" w:rsidR="007560A9" w:rsidRDefault="00844BF7">
      <w:pPr>
        <w:jc w:val="center"/>
        <w:rPr>
          <w:sz w:val="18"/>
          <w:szCs w:val="18"/>
        </w:rPr>
      </w:pPr>
      <w:r>
        <w:rPr>
          <w:sz w:val="18"/>
          <w:szCs w:val="18"/>
        </w:rPr>
        <w:br/>
      </w:r>
    </w:p>
    <w:p w14:paraId="3D2A20FE" w14:textId="77777777" w:rsidR="007560A9" w:rsidRDefault="00844BF7">
      <w:pPr>
        <w:jc w:val="center"/>
        <w:rPr>
          <w:sz w:val="28"/>
          <w:szCs w:val="28"/>
        </w:rPr>
      </w:pPr>
      <w:r>
        <w:rPr>
          <w:b/>
          <w:sz w:val="28"/>
          <w:szCs w:val="28"/>
        </w:rPr>
        <w:t>WORKS CONTRACT NOTICE</w:t>
      </w:r>
      <w:r>
        <w:rPr>
          <w:noProof/>
          <w:lang w:val="bs-Latn-BA" w:eastAsia="bs-Latn-BA"/>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31E6316A"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4FC207DF" w:rsidR="007560A9" w:rsidRDefault="006D4538">
      <w:pPr>
        <w:jc w:val="center"/>
        <w:rPr>
          <w:b/>
          <w:sz w:val="22"/>
          <w:szCs w:val="22"/>
        </w:rPr>
      </w:pPr>
      <w:bookmarkStart w:id="0" w:name="_Hlk109245075"/>
      <w:r w:rsidRPr="006D4538">
        <w:rPr>
          <w:b/>
          <w:sz w:val="22"/>
          <w:szCs w:val="22"/>
        </w:rPr>
        <w:t xml:space="preserve">Refurbishment Works on the Kantarevac park and Preparation of the Los Rosales playground for the installation of didactic play equipment </w:t>
      </w:r>
      <w:bookmarkEnd w:id="0"/>
      <w:r w:rsidRPr="006D4538">
        <w:rPr>
          <w:b/>
          <w:sz w:val="22"/>
          <w:szCs w:val="22"/>
        </w:rPr>
        <w:t xml:space="preserve">and the </w:t>
      </w:r>
      <w:bookmarkStart w:id="1" w:name="_Hlk109245109"/>
      <w:r w:rsidRPr="006D4538">
        <w:rPr>
          <w:b/>
          <w:sz w:val="22"/>
          <w:szCs w:val="22"/>
        </w:rPr>
        <w:t>procurement of a set of didactic play equipment for the multi-sensory playgrounds Kantarevac and Los Rosales</w:t>
      </w:r>
      <w:bookmarkEnd w:id="1"/>
    </w:p>
    <w:p w14:paraId="0AABEFF6" w14:textId="6B7E6A2D" w:rsidR="007560A9" w:rsidRDefault="00844BF7">
      <w:pPr>
        <w:spacing w:after="240"/>
        <w:jc w:val="center"/>
        <w:rPr>
          <w:b/>
        </w:rPr>
      </w:pPr>
      <w:r>
        <w:rPr>
          <w:b/>
        </w:rPr>
        <w:t xml:space="preserve">Ref. </w:t>
      </w:r>
      <w:r w:rsidR="00483114">
        <w:rPr>
          <w:b/>
        </w:rPr>
        <w:t>number</w:t>
      </w:r>
      <w:r w:rsidR="00ED1EFC">
        <w:rPr>
          <w:b/>
        </w:rPr>
        <w:t>:</w:t>
      </w:r>
      <w:r w:rsidR="00483114">
        <w:rPr>
          <w:b/>
        </w:rPr>
        <w:t xml:space="preserve"> </w:t>
      </w:r>
      <w:bookmarkStart w:id="2" w:name="_Hlk109324794"/>
      <w:r w:rsidR="00483114" w:rsidRPr="00483114">
        <w:rPr>
          <w:b/>
        </w:rPr>
        <w:t>08-11-15330/20-66</w:t>
      </w:r>
    </w:p>
    <w:bookmarkEnd w:id="2"/>
    <w:p w14:paraId="012167D1" w14:textId="77777777" w:rsidR="007560A9" w:rsidRDefault="007560A9">
      <w:pPr>
        <w:jc w:val="center"/>
        <w:rPr>
          <w:b/>
          <w:sz w:val="22"/>
          <w:szCs w:val="22"/>
        </w:rPr>
      </w:pPr>
    </w:p>
    <w:p w14:paraId="46DA7B35" w14:textId="02863D24" w:rsidR="006D4538" w:rsidRPr="006D4538" w:rsidRDefault="006D4538">
      <w:pPr>
        <w:jc w:val="center"/>
        <w:rPr>
          <w:sz w:val="22"/>
          <w:szCs w:val="22"/>
        </w:rPr>
      </w:pPr>
      <w:r>
        <w:rPr>
          <w:b/>
          <w:sz w:val="22"/>
          <w:szCs w:val="22"/>
        </w:rPr>
        <w:t>P</w:t>
      </w:r>
      <w:r w:rsidRPr="006D4538">
        <w:rPr>
          <w:b/>
          <w:sz w:val="22"/>
          <w:szCs w:val="22"/>
        </w:rPr>
        <w:t>laygrounds Kantarevac and Los Rosales</w:t>
      </w:r>
      <w:r w:rsidRPr="006D4538">
        <w:rPr>
          <w:sz w:val="22"/>
          <w:szCs w:val="22"/>
        </w:rPr>
        <w:t xml:space="preserve"> / City of Mostar, Bosnia and Herzegovina</w:t>
      </w:r>
    </w:p>
    <w:p w14:paraId="6A7E55AC" w14:textId="77777777" w:rsidR="007560A9" w:rsidRDefault="007560A9">
      <w:pPr>
        <w:ind w:left="709" w:hanging="349"/>
        <w:rPr>
          <w:b/>
          <w:sz w:val="22"/>
          <w:szCs w:val="22"/>
          <w:highlight w:val="yellow"/>
        </w:rPr>
      </w:pPr>
    </w:p>
    <w:p w14:paraId="5FA14FC0"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Publication reference</w:t>
      </w:r>
    </w:p>
    <w:p w14:paraId="4A7D61E0" w14:textId="7C90E6D1" w:rsidR="007560A9" w:rsidRPr="002C0AC4" w:rsidRDefault="00483114" w:rsidP="002C0AC4">
      <w:pPr>
        <w:ind w:firstLine="709"/>
        <w:rPr>
          <w:sz w:val="22"/>
          <w:szCs w:val="22"/>
        </w:rPr>
      </w:pPr>
      <w:r w:rsidRPr="00483114">
        <w:rPr>
          <w:sz w:val="22"/>
          <w:szCs w:val="22"/>
        </w:rPr>
        <w:t>R</w:t>
      </w:r>
      <w:r w:rsidR="00844BF7" w:rsidRPr="00483114">
        <w:rPr>
          <w:sz w:val="22"/>
          <w:szCs w:val="22"/>
        </w:rPr>
        <w:t>eference number</w:t>
      </w:r>
      <w:r w:rsidRPr="00483114">
        <w:rPr>
          <w:sz w:val="22"/>
          <w:szCs w:val="22"/>
        </w:rPr>
        <w:t>: 08-11-15330/20-66</w:t>
      </w:r>
      <w:r w:rsidR="00844BF7" w:rsidRPr="002C0AC4">
        <w:rPr>
          <w:sz w:val="22"/>
          <w:szCs w:val="22"/>
        </w:rPr>
        <w:t xml:space="preserve"> </w:t>
      </w:r>
    </w:p>
    <w:p w14:paraId="4720A225" w14:textId="19AE8388" w:rsidR="007560A9" w:rsidRDefault="007560A9">
      <w:pPr>
        <w:ind w:left="709"/>
        <w:rPr>
          <w:sz w:val="22"/>
          <w:szCs w:val="22"/>
        </w:rPr>
      </w:pPr>
    </w:p>
    <w:p w14:paraId="49F9422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Procedure</w:t>
      </w:r>
    </w:p>
    <w:p w14:paraId="6B6B1C3F" w14:textId="235BF733" w:rsidR="004C39D9" w:rsidRDefault="001716D0" w:rsidP="001716D0">
      <w:pPr>
        <w:pBdr>
          <w:top w:val="nil"/>
          <w:left w:val="nil"/>
          <w:bottom w:val="nil"/>
          <w:right w:val="nil"/>
          <w:between w:val="nil"/>
        </w:pBdr>
        <w:ind w:left="709"/>
        <w:rPr>
          <w:color w:val="000000"/>
        </w:rPr>
      </w:pPr>
      <w:r>
        <w:rPr>
          <w:color w:val="000000"/>
        </w:rPr>
        <w:t>L</w:t>
      </w:r>
      <w:r w:rsidRPr="001716D0">
        <w:rPr>
          <w:color w:val="000000"/>
        </w:rPr>
        <w:t>ocal open procedure</w:t>
      </w:r>
    </w:p>
    <w:p w14:paraId="1A271315" w14:textId="77777777" w:rsidR="001716D0" w:rsidRPr="001716D0" w:rsidRDefault="001716D0" w:rsidP="001716D0">
      <w:pPr>
        <w:pBdr>
          <w:top w:val="nil"/>
          <w:left w:val="nil"/>
          <w:bottom w:val="nil"/>
          <w:right w:val="nil"/>
          <w:between w:val="nil"/>
        </w:pBdr>
        <w:ind w:left="709"/>
        <w:rPr>
          <w:color w:val="000000"/>
        </w:rPr>
      </w:pPr>
    </w:p>
    <w:p w14:paraId="07279FCA" w14:textId="77777777" w:rsidR="004C39D9" w:rsidRPr="004C39D9" w:rsidRDefault="00844BF7" w:rsidP="004C39D9">
      <w:pPr>
        <w:numPr>
          <w:ilvl w:val="0"/>
          <w:numId w:val="3"/>
        </w:numPr>
        <w:pBdr>
          <w:top w:val="nil"/>
          <w:left w:val="nil"/>
          <w:bottom w:val="nil"/>
          <w:right w:val="nil"/>
          <w:between w:val="nil"/>
        </w:pBdr>
        <w:rPr>
          <w:color w:val="000000"/>
        </w:rPr>
      </w:pPr>
      <w:r>
        <w:rPr>
          <w:b/>
          <w:color w:val="000000"/>
          <w:sz w:val="22"/>
          <w:szCs w:val="22"/>
        </w:rPr>
        <w:t>Programme title</w:t>
      </w:r>
    </w:p>
    <w:p w14:paraId="54760694" w14:textId="77777777" w:rsidR="002B718B" w:rsidRDefault="002B718B" w:rsidP="002C0AC4">
      <w:pPr>
        <w:ind w:left="644"/>
      </w:pPr>
      <w:r w:rsidRPr="002B718B">
        <w:t>Instrument for Pre-accession Assistance (IPA II), The Interreg IPA Cross-border Cooperation Programme Croatia-Bosnia and Herzegovina-Montenegro 2014-2020.</w:t>
      </w:r>
    </w:p>
    <w:p w14:paraId="5BFBA2DE" w14:textId="31819D23" w:rsidR="007560A9" w:rsidRDefault="004C39D9" w:rsidP="002C0AC4">
      <w:pPr>
        <w:ind w:left="644"/>
      </w:pPr>
      <w:r>
        <w:t xml:space="preserve"> </w:t>
      </w:r>
    </w:p>
    <w:p w14:paraId="5FA3F63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Financing</w:t>
      </w:r>
    </w:p>
    <w:p w14:paraId="302A68F7" w14:textId="00407361" w:rsidR="007560A9" w:rsidRDefault="004C39D9">
      <w:pPr>
        <w:pBdr>
          <w:top w:val="nil"/>
          <w:left w:val="nil"/>
          <w:bottom w:val="nil"/>
          <w:right w:val="nil"/>
          <w:between w:val="nil"/>
        </w:pBdr>
        <w:tabs>
          <w:tab w:val="left" w:pos="709"/>
        </w:tabs>
        <w:ind w:left="709" w:right="360" w:hanging="360"/>
        <w:rPr>
          <w:color w:val="000000"/>
          <w:sz w:val="22"/>
          <w:szCs w:val="22"/>
        </w:rPr>
      </w:pPr>
      <w:r>
        <w:rPr>
          <w:color w:val="000000"/>
          <w:sz w:val="22"/>
          <w:szCs w:val="22"/>
        </w:rPr>
        <w:t xml:space="preserve">    </w:t>
      </w:r>
      <w:r w:rsidR="009C6A55">
        <w:rPr>
          <w:color w:val="000000"/>
          <w:sz w:val="22"/>
          <w:szCs w:val="22"/>
        </w:rPr>
        <w:t>6. Infrastructural work and 5. Equipment expenditure</w:t>
      </w:r>
    </w:p>
    <w:p w14:paraId="6609874C" w14:textId="77777777" w:rsidR="007560A9" w:rsidRDefault="007560A9">
      <w:pPr>
        <w:ind w:left="709"/>
        <w:rPr>
          <w:sz w:val="22"/>
          <w:szCs w:val="22"/>
        </w:rPr>
      </w:pPr>
    </w:p>
    <w:p w14:paraId="169857F6" w14:textId="77777777" w:rsidR="007560A9" w:rsidRPr="004C39D9" w:rsidRDefault="00844BF7" w:rsidP="004C39D9">
      <w:pPr>
        <w:numPr>
          <w:ilvl w:val="0"/>
          <w:numId w:val="3"/>
        </w:numPr>
        <w:pBdr>
          <w:top w:val="nil"/>
          <w:left w:val="nil"/>
          <w:bottom w:val="nil"/>
          <w:right w:val="nil"/>
          <w:between w:val="nil"/>
        </w:pBdr>
        <w:rPr>
          <w:color w:val="000000"/>
        </w:rPr>
      </w:pPr>
      <w:r w:rsidRPr="004C39D9">
        <w:rPr>
          <w:b/>
          <w:color w:val="000000"/>
          <w:sz w:val="22"/>
          <w:szCs w:val="22"/>
        </w:rPr>
        <w:t>Contracting Authority</w:t>
      </w:r>
      <w:r w:rsidRPr="004C39D9">
        <w:rPr>
          <w:b/>
          <w:color w:val="000000"/>
        </w:rPr>
        <w:t xml:space="preserve"> </w:t>
      </w:r>
      <w:r w:rsidRPr="002C0AC4">
        <w:rPr>
          <w:b/>
          <w:color w:val="000000"/>
          <w:sz w:val="22"/>
          <w:szCs w:val="22"/>
        </w:rPr>
        <w:t>(Project partner)</w:t>
      </w:r>
    </w:p>
    <w:p w14:paraId="416E15F4" w14:textId="676FBCFA" w:rsidR="00483114" w:rsidRPr="00483114" w:rsidRDefault="00483114" w:rsidP="00483114">
      <w:pPr>
        <w:pBdr>
          <w:top w:val="nil"/>
          <w:left w:val="nil"/>
          <w:bottom w:val="nil"/>
          <w:right w:val="nil"/>
          <w:between w:val="nil"/>
        </w:pBdr>
        <w:ind w:left="709" w:right="360" w:hanging="360"/>
        <w:rPr>
          <w:sz w:val="22"/>
          <w:szCs w:val="22"/>
        </w:rPr>
      </w:pPr>
      <w:r w:rsidRPr="00483114">
        <w:rPr>
          <w:sz w:val="22"/>
          <w:szCs w:val="22"/>
        </w:rPr>
        <w:t>GRAD MOSTAR,</w:t>
      </w:r>
    </w:p>
    <w:p w14:paraId="43BBDF0B" w14:textId="3D8D56E1" w:rsidR="007560A9" w:rsidRDefault="00766E10" w:rsidP="00483114">
      <w:pPr>
        <w:pBdr>
          <w:top w:val="nil"/>
          <w:left w:val="nil"/>
          <w:bottom w:val="nil"/>
          <w:right w:val="nil"/>
          <w:between w:val="nil"/>
        </w:pBdr>
        <w:ind w:left="709" w:right="360" w:hanging="360"/>
        <w:rPr>
          <w:sz w:val="22"/>
          <w:szCs w:val="22"/>
        </w:rPr>
      </w:pPr>
      <w:r>
        <w:rPr>
          <w:sz w:val="22"/>
          <w:szCs w:val="22"/>
        </w:rPr>
        <w:t>Hrvatskih branitelja 2</w:t>
      </w:r>
      <w:r w:rsidR="00483114" w:rsidRPr="00483114">
        <w:rPr>
          <w:sz w:val="22"/>
          <w:szCs w:val="22"/>
        </w:rPr>
        <w:t>, 88000 Mostar, BiH</w:t>
      </w:r>
    </w:p>
    <w:p w14:paraId="724AC05D" w14:textId="66D30EB8" w:rsidR="00766E10" w:rsidRDefault="00766E10" w:rsidP="00483114">
      <w:pPr>
        <w:pBdr>
          <w:top w:val="nil"/>
          <w:left w:val="nil"/>
          <w:bottom w:val="nil"/>
          <w:right w:val="nil"/>
          <w:between w:val="nil"/>
        </w:pBdr>
        <w:ind w:left="709" w:right="360" w:hanging="360"/>
        <w:rPr>
          <w:color w:val="000000"/>
          <w:sz w:val="22"/>
          <w:szCs w:val="22"/>
        </w:rPr>
      </w:pPr>
      <w:r>
        <w:rPr>
          <w:sz w:val="22"/>
          <w:szCs w:val="22"/>
        </w:rPr>
        <w:t>Reg. no: 4227396110007</w:t>
      </w:r>
    </w:p>
    <w:p w14:paraId="196874FA" w14:textId="77777777" w:rsidR="007560A9" w:rsidRDefault="00844BF7">
      <w:pPr>
        <w:keepNext/>
        <w:widowControl/>
        <w:ind w:left="357"/>
        <w:jc w:val="center"/>
        <w:rPr>
          <w:b/>
          <w:sz w:val="22"/>
          <w:szCs w:val="22"/>
        </w:rPr>
      </w:pPr>
      <w:r>
        <w:rPr>
          <w:b/>
          <w:sz w:val="22"/>
          <w:szCs w:val="22"/>
        </w:rPr>
        <w:lastRenderedPageBreak/>
        <w:t>CONTRACT SPECIFICATIONS</w:t>
      </w:r>
      <w:r>
        <w:rPr>
          <w:noProof/>
          <w:lang w:val="bs-Latn-BA" w:eastAsia="bs-Latn-BA"/>
        </w:rPr>
        <mc:AlternateContent>
          <mc:Choice Requires="wps">
            <w:drawing>
              <wp:anchor distT="0" distB="0" distL="114300" distR="114300" simplePos="0" relativeHeight="251659264" behindDoc="0" locked="0" layoutInCell="1" hidden="0" allowOverlap="1" wp14:anchorId="3B58A06C" wp14:editId="520F2F5E">
                <wp:simplePos x="0" y="0"/>
                <wp:positionH relativeFrom="margin">
                  <wp:posOffset>139700</wp:posOffset>
                </wp:positionH>
                <wp:positionV relativeFrom="paragraph">
                  <wp:posOffset>-12699</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2B8AD64" id="Straight Arrow Connector 2" o:spid="_x0000_s1026" type="#_x0000_t32" style="position:absolute;margin-left:11pt;margin-top:-1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mc:Fallback>
        </mc:AlternateContent>
      </w:r>
    </w:p>
    <w:p w14:paraId="575C555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Description of the contract</w:t>
      </w:r>
    </w:p>
    <w:p w14:paraId="3AFF17E2" w14:textId="77777777" w:rsidR="002B75C3" w:rsidRPr="002B75C3" w:rsidRDefault="002B75C3" w:rsidP="002B75C3">
      <w:pPr>
        <w:pBdr>
          <w:top w:val="nil"/>
          <w:left w:val="nil"/>
          <w:bottom w:val="nil"/>
          <w:right w:val="nil"/>
          <w:between w:val="nil"/>
        </w:pBdr>
        <w:rPr>
          <w:sz w:val="22"/>
          <w:szCs w:val="22"/>
        </w:rPr>
      </w:pPr>
      <w:r w:rsidRPr="002B75C3">
        <w:rPr>
          <w:sz w:val="22"/>
          <w:szCs w:val="22"/>
        </w:rPr>
        <w:t>Within the sports center Kanarevac, part of the space is planned to be reconstructed in order to build a sensory park, a place for children with developmental disabilities to play and learn. The space intended for reconstruction has an area of ​​approximately 960.00 m2 and will be used as a basketball court and a yard with appropriate equipment.</w:t>
      </w:r>
    </w:p>
    <w:p w14:paraId="6744120A" w14:textId="77777777" w:rsidR="002B75C3" w:rsidRPr="002B75C3" w:rsidRDefault="002B75C3" w:rsidP="002B75C3">
      <w:pPr>
        <w:pBdr>
          <w:top w:val="nil"/>
          <w:left w:val="nil"/>
          <w:bottom w:val="nil"/>
          <w:right w:val="nil"/>
          <w:between w:val="nil"/>
        </w:pBdr>
        <w:rPr>
          <w:sz w:val="22"/>
          <w:szCs w:val="22"/>
        </w:rPr>
      </w:pPr>
      <w:r w:rsidRPr="002B75C3">
        <w:rPr>
          <w:sz w:val="22"/>
          <w:szCs w:val="22"/>
        </w:rPr>
        <w:t>The project envisages the construction of a basketball court with dimensions of 15.00 x 10.00 m, which will be separated by a protective net from the area intended for children to play. It is planned to install adjustable baskets with the possibility of regulating the height of the basket in the range from 260 to 305 cm. The baskets are also adapted for playing basketball in a wheelchair.</w:t>
      </w:r>
    </w:p>
    <w:p w14:paraId="58C9BFF3" w14:textId="6E75C8AF" w:rsidR="002B75C3" w:rsidRDefault="002B75C3" w:rsidP="002B75C3">
      <w:pPr>
        <w:pBdr>
          <w:top w:val="nil"/>
          <w:left w:val="nil"/>
          <w:bottom w:val="nil"/>
          <w:right w:val="nil"/>
          <w:between w:val="nil"/>
        </w:pBdr>
        <w:rPr>
          <w:sz w:val="22"/>
          <w:szCs w:val="22"/>
        </w:rPr>
      </w:pPr>
      <w:r w:rsidRPr="002B75C3">
        <w:rPr>
          <w:sz w:val="22"/>
          <w:szCs w:val="22"/>
        </w:rPr>
        <w:t>The planned yard with equipment is approx. 450.00 m2.</w:t>
      </w:r>
    </w:p>
    <w:p w14:paraId="37A0D8C9" w14:textId="77777777" w:rsidR="002B718B" w:rsidRDefault="002B718B" w:rsidP="002B75C3">
      <w:pPr>
        <w:pBdr>
          <w:top w:val="nil"/>
          <w:left w:val="nil"/>
          <w:bottom w:val="nil"/>
          <w:right w:val="nil"/>
          <w:between w:val="nil"/>
        </w:pBdr>
        <w:rPr>
          <w:sz w:val="22"/>
          <w:szCs w:val="22"/>
        </w:rPr>
      </w:pPr>
    </w:p>
    <w:p w14:paraId="76D26DCD" w14:textId="77777777" w:rsidR="002B718B" w:rsidRDefault="002B718B" w:rsidP="002B718B">
      <w:pPr>
        <w:jc w:val="both"/>
      </w:pPr>
      <w:r>
        <w:t>LOT 1: max. 97.258,00EUR/190.220,11BAM</w:t>
      </w:r>
    </w:p>
    <w:p w14:paraId="2E899069" w14:textId="77777777" w:rsidR="002B718B" w:rsidRDefault="002B718B" w:rsidP="002B718B">
      <w:pPr>
        <w:jc w:val="both"/>
      </w:pPr>
      <w:r>
        <w:t>LOT 2: max. 92.042,00EUR/180.018,50BAM</w:t>
      </w:r>
    </w:p>
    <w:p w14:paraId="74C1C910" w14:textId="60155C7A" w:rsidR="00D53F27" w:rsidRDefault="00D53F27" w:rsidP="002B718B">
      <w:pPr>
        <w:jc w:val="both"/>
      </w:pPr>
      <w:r>
        <w:t xml:space="preserve">Total value of tender: max. </w:t>
      </w:r>
      <w:bookmarkStart w:id="3" w:name="_Hlk109324527"/>
      <w:r>
        <w:t>189.300,00EUR/370.238,61BAM</w:t>
      </w:r>
      <w:bookmarkEnd w:id="3"/>
    </w:p>
    <w:p w14:paraId="65F2BBF2" w14:textId="77777777" w:rsidR="00D53F27" w:rsidRDefault="00D53F27" w:rsidP="002B75C3">
      <w:pPr>
        <w:pBdr>
          <w:top w:val="nil"/>
          <w:left w:val="nil"/>
          <w:bottom w:val="nil"/>
          <w:right w:val="nil"/>
          <w:between w:val="nil"/>
        </w:pBdr>
        <w:rPr>
          <w:sz w:val="22"/>
          <w:szCs w:val="22"/>
        </w:rPr>
      </w:pPr>
    </w:p>
    <w:p w14:paraId="77AB0444" w14:textId="6AAA86D6" w:rsidR="007560A9" w:rsidRPr="002B75C3" w:rsidRDefault="00844BF7" w:rsidP="002B75C3">
      <w:pPr>
        <w:pStyle w:val="ListParagraph"/>
        <w:numPr>
          <w:ilvl w:val="0"/>
          <w:numId w:val="3"/>
        </w:numPr>
        <w:pBdr>
          <w:top w:val="nil"/>
          <w:left w:val="nil"/>
          <w:bottom w:val="nil"/>
          <w:right w:val="nil"/>
          <w:between w:val="nil"/>
        </w:pBdr>
        <w:rPr>
          <w:sz w:val="22"/>
          <w:szCs w:val="22"/>
        </w:rPr>
      </w:pPr>
      <w:r w:rsidRPr="002B75C3">
        <w:rPr>
          <w:b/>
          <w:color w:val="000000"/>
          <w:sz w:val="22"/>
          <w:szCs w:val="22"/>
        </w:rPr>
        <w:t>Number and titles of lots</w:t>
      </w:r>
    </w:p>
    <w:p w14:paraId="7F1EAFD6" w14:textId="161178B4" w:rsidR="007560A9" w:rsidRPr="00A62CA6" w:rsidRDefault="009C6A55">
      <w:pPr>
        <w:ind w:left="709"/>
        <w:rPr>
          <w:sz w:val="22"/>
          <w:szCs w:val="22"/>
        </w:rPr>
      </w:pPr>
      <w:r w:rsidRPr="00A62CA6">
        <w:rPr>
          <w:sz w:val="22"/>
          <w:szCs w:val="22"/>
        </w:rPr>
        <w:t>LOT</w:t>
      </w:r>
      <w:r w:rsidR="00844BF7" w:rsidRPr="00A62CA6">
        <w:rPr>
          <w:sz w:val="22"/>
          <w:szCs w:val="22"/>
        </w:rPr>
        <w:t>1</w:t>
      </w:r>
      <w:r w:rsidR="002B718B">
        <w:rPr>
          <w:sz w:val="22"/>
          <w:szCs w:val="22"/>
        </w:rPr>
        <w:t>:</w:t>
      </w:r>
      <w:r w:rsidR="00844BF7" w:rsidRPr="00A62CA6">
        <w:rPr>
          <w:sz w:val="22"/>
          <w:szCs w:val="22"/>
        </w:rPr>
        <w:t xml:space="preserve"> </w:t>
      </w:r>
      <w:r w:rsidRPr="00A62CA6">
        <w:rPr>
          <w:sz w:val="22"/>
          <w:szCs w:val="22"/>
        </w:rPr>
        <w:t>Refurbishment Works on the Kantarevac park and Preparation of the Los Rosales playground for the installation of didactic play equipment</w:t>
      </w:r>
    </w:p>
    <w:p w14:paraId="574C96B5" w14:textId="71F69E59" w:rsidR="007560A9" w:rsidRDefault="002B718B">
      <w:pPr>
        <w:ind w:left="709"/>
        <w:rPr>
          <w:sz w:val="22"/>
          <w:szCs w:val="22"/>
        </w:rPr>
      </w:pPr>
      <w:r>
        <w:rPr>
          <w:sz w:val="22"/>
          <w:szCs w:val="22"/>
        </w:rPr>
        <w:t>LOT</w:t>
      </w:r>
      <w:r w:rsidR="00844BF7" w:rsidRPr="00A62CA6">
        <w:rPr>
          <w:sz w:val="22"/>
          <w:szCs w:val="22"/>
        </w:rPr>
        <w:t>2</w:t>
      </w:r>
      <w:r>
        <w:rPr>
          <w:sz w:val="22"/>
          <w:szCs w:val="22"/>
        </w:rPr>
        <w:t>:</w:t>
      </w:r>
      <w:r w:rsidR="00844BF7" w:rsidRPr="00A62CA6">
        <w:rPr>
          <w:sz w:val="22"/>
          <w:szCs w:val="22"/>
        </w:rPr>
        <w:t xml:space="preserve"> </w:t>
      </w:r>
      <w:r w:rsidR="009C6A55" w:rsidRPr="00A62CA6">
        <w:rPr>
          <w:sz w:val="22"/>
          <w:szCs w:val="22"/>
        </w:rPr>
        <w:t>procurement of a set of didactic play equipment for the multi-sensory playgrounds Kantarevac and Los Rosales</w:t>
      </w:r>
    </w:p>
    <w:p w14:paraId="3F890A42" w14:textId="77777777" w:rsidR="00A62CA6" w:rsidRDefault="00A62CA6">
      <w:pPr>
        <w:ind w:left="360"/>
        <w:jc w:val="center"/>
        <w:rPr>
          <w:sz w:val="22"/>
          <w:szCs w:val="22"/>
        </w:rPr>
      </w:pPr>
    </w:p>
    <w:p w14:paraId="69170186" w14:textId="5F9A5A5A" w:rsidR="007560A9" w:rsidRDefault="00844BF7">
      <w:pPr>
        <w:ind w:left="360"/>
        <w:jc w:val="center"/>
        <w:rPr>
          <w:b/>
          <w:sz w:val="22"/>
          <w:szCs w:val="22"/>
        </w:rPr>
      </w:pPr>
      <w:r>
        <w:rPr>
          <w:b/>
          <w:sz w:val="22"/>
          <w:szCs w:val="22"/>
        </w:rPr>
        <w:t>TERMS OF PARTICIPATION</w:t>
      </w:r>
      <w:r>
        <w:rPr>
          <w:noProof/>
          <w:lang w:val="bs-Latn-BA" w:eastAsia="bs-Latn-BA"/>
        </w:rPr>
        <mc:AlternateContent>
          <mc:Choice Requires="wps">
            <w:drawing>
              <wp:anchor distT="0" distB="0" distL="114300" distR="114300" simplePos="0" relativeHeight="251660288" behindDoc="0" locked="0" layoutInCell="1" hidden="0" allowOverlap="1" wp14:anchorId="2B9904B6" wp14:editId="2856929C">
                <wp:simplePos x="0" y="0"/>
                <wp:positionH relativeFrom="margin">
                  <wp:posOffset>139700</wp:posOffset>
                </wp:positionH>
                <wp:positionV relativeFrom="paragraph">
                  <wp:posOffset>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7439212D" id="Straight Arrow Connector 5" o:spid="_x0000_s1026" type="#_x0000_t32" style="position:absolute;margin-left:11pt;margin-top:0;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mc:Fallback>
        </mc:AlternateContent>
      </w:r>
    </w:p>
    <w:p w14:paraId="32A267B1" w14:textId="77777777" w:rsidR="007560A9" w:rsidRDefault="00844BF7">
      <w:pPr>
        <w:numPr>
          <w:ilvl w:val="0"/>
          <w:numId w:val="3"/>
        </w:numPr>
        <w:pBdr>
          <w:top w:val="nil"/>
          <w:left w:val="nil"/>
          <w:bottom w:val="nil"/>
          <w:right w:val="nil"/>
          <w:between w:val="nil"/>
        </w:pBdr>
        <w:rPr>
          <w:color w:val="000000"/>
        </w:rPr>
      </w:pPr>
      <w:bookmarkStart w:id="4" w:name="_gjdgxs" w:colFirst="0" w:colLast="0"/>
      <w:bookmarkEnd w:id="4"/>
      <w:r>
        <w:rPr>
          <w:b/>
          <w:color w:val="000000"/>
          <w:sz w:val="22"/>
          <w:szCs w:val="22"/>
        </w:rPr>
        <w:t>Eligibility and rules of origin</w:t>
      </w:r>
    </w:p>
    <w:p w14:paraId="62F2EA7E" w14:textId="7EC5E569" w:rsidR="007560A9" w:rsidRDefault="00ED6095" w:rsidP="002C0AC4">
      <w:pPr>
        <w:pBdr>
          <w:top w:val="nil"/>
          <w:left w:val="nil"/>
          <w:bottom w:val="nil"/>
          <w:right w:val="nil"/>
          <w:between w:val="nil"/>
        </w:pBdr>
        <w:ind w:left="709"/>
        <w:jc w:val="both"/>
        <w:rPr>
          <w:color w:val="000000"/>
          <w:sz w:val="22"/>
          <w:szCs w:val="22"/>
        </w:rPr>
      </w:pPr>
      <w:bookmarkStart w:id="5" w:name="_30j0zll" w:colFirst="0" w:colLast="0"/>
      <w:bookmarkStart w:id="6" w:name="_1fob9te" w:colFirst="0" w:colLast="0"/>
      <w:bookmarkEnd w:id="5"/>
      <w:bookmarkEnd w:id="6"/>
      <w:r w:rsidRPr="00ED6095">
        <w:rPr>
          <w:color w:val="000000"/>
          <w:sz w:val="22"/>
          <w:szCs w:val="22"/>
        </w:rPr>
        <w:t>Participation in the award of procurement contracts and other award procedures for actions finan</w:t>
      </w:r>
      <w:r>
        <w:rPr>
          <w:color w:val="000000"/>
          <w:sz w:val="22"/>
          <w:szCs w:val="22"/>
        </w:rPr>
        <w:t>ced under the Programme is</w:t>
      </w:r>
      <w:r w:rsidRPr="00ED6095">
        <w:rPr>
          <w:color w:val="000000"/>
          <w:sz w:val="22"/>
          <w:szCs w:val="22"/>
        </w:rPr>
        <w:t xml:space="preserve"> open to all 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p>
    <w:p w14:paraId="4F307807" w14:textId="77777777" w:rsidR="00ED6095" w:rsidRPr="00ED6095" w:rsidRDefault="00ED6095" w:rsidP="00ED6095">
      <w:pPr>
        <w:pBdr>
          <w:top w:val="nil"/>
          <w:left w:val="nil"/>
          <w:bottom w:val="nil"/>
          <w:right w:val="nil"/>
          <w:between w:val="nil"/>
        </w:pBdr>
        <w:ind w:left="709"/>
        <w:jc w:val="both"/>
        <w:rPr>
          <w:sz w:val="22"/>
          <w:szCs w:val="22"/>
        </w:rPr>
      </w:pPr>
      <w:r w:rsidRPr="00ED6095">
        <w:rPr>
          <w:sz w:val="22"/>
          <w:szCs w:val="22"/>
        </w:rPr>
        <w:t>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w:t>
      </w:r>
    </w:p>
    <w:p w14:paraId="4AD0E372" w14:textId="11798414" w:rsidR="00ED6095" w:rsidRDefault="00ED6095" w:rsidP="00ED6095">
      <w:pPr>
        <w:pBdr>
          <w:top w:val="nil"/>
          <w:left w:val="nil"/>
          <w:bottom w:val="nil"/>
          <w:right w:val="nil"/>
          <w:between w:val="nil"/>
        </w:pBdr>
        <w:ind w:left="709"/>
        <w:jc w:val="both"/>
        <w:rPr>
          <w:sz w:val="22"/>
          <w:szCs w:val="22"/>
        </w:rPr>
      </w:pPr>
      <w:r w:rsidRPr="00ED6095">
        <w:rPr>
          <w:sz w:val="22"/>
          <w:szCs w:val="22"/>
        </w:rPr>
        <w:t>As the Croatian national rules do not contain any restrictions as regards the rules of origin, all goods can originate from any country, irrespective of any thresholds.</w:t>
      </w:r>
    </w:p>
    <w:p w14:paraId="1C1ACC4D" w14:textId="77777777" w:rsidR="007560A9" w:rsidRDefault="00844BF7">
      <w:pPr>
        <w:keepNext/>
        <w:keepLines/>
        <w:numPr>
          <w:ilvl w:val="0"/>
          <w:numId w:val="3"/>
        </w:numPr>
        <w:pBdr>
          <w:top w:val="nil"/>
          <w:left w:val="nil"/>
          <w:bottom w:val="nil"/>
          <w:right w:val="nil"/>
          <w:between w:val="nil"/>
        </w:pBdr>
        <w:rPr>
          <w:color w:val="000000"/>
        </w:rPr>
      </w:pPr>
      <w:r>
        <w:rPr>
          <w:b/>
          <w:color w:val="000000"/>
          <w:sz w:val="22"/>
          <w:szCs w:val="22"/>
        </w:rPr>
        <w:lastRenderedPageBreak/>
        <w:t>Grounds for exclusion</w:t>
      </w:r>
    </w:p>
    <w:p w14:paraId="4B1C685C" w14:textId="3F14B1A3" w:rsidR="007560A9" w:rsidRDefault="00844BF7">
      <w:pPr>
        <w:keepNext/>
        <w:keepLines/>
        <w:ind w:left="709"/>
        <w:jc w:val="both"/>
        <w:rPr>
          <w:sz w:val="22"/>
          <w:szCs w:val="22"/>
        </w:rPr>
      </w:pPr>
      <w:r>
        <w:rPr>
          <w:sz w:val="22"/>
          <w:szCs w:val="22"/>
        </w:rPr>
        <w:t>Tenderers must submit a signed declaration, included in the Tender Form for a Works Contract, to the effect that they are not in any of the situations listed in point 2.</w:t>
      </w:r>
      <w:r w:rsidR="004C39D9">
        <w:rPr>
          <w:sz w:val="22"/>
          <w:szCs w:val="22"/>
        </w:rPr>
        <w:t>6.10.1.</w:t>
      </w:r>
      <w:r>
        <w:rPr>
          <w:sz w:val="22"/>
          <w:szCs w:val="22"/>
        </w:rPr>
        <w:t xml:space="preserve"> of the </w:t>
      </w:r>
      <w:r>
        <w:rPr>
          <w:b/>
          <w:sz w:val="22"/>
          <w:szCs w:val="22"/>
        </w:rPr>
        <w:t>Practical Guide.</w:t>
      </w:r>
    </w:p>
    <w:p w14:paraId="1BDC68B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of tenders</w:t>
      </w:r>
    </w:p>
    <w:p w14:paraId="71A9FF68" w14:textId="68CB7AAF" w:rsidR="007560A9" w:rsidRDefault="00844BF7">
      <w:pPr>
        <w:ind w:left="709"/>
        <w:jc w:val="both"/>
        <w:rPr>
          <w:sz w:val="22"/>
          <w:szCs w:val="22"/>
        </w:rPr>
      </w:pPr>
      <w:r>
        <w:rPr>
          <w:sz w:val="22"/>
          <w:szCs w:val="22"/>
        </w:rPr>
        <w:t xml:space="preserve">Tenderers may submit only one tender per lot. Tenders for parts of a lot will not be considered. Any tenderer may state in its tender that it would offer a discount in the event that its tender is accepted for more than one lot. </w:t>
      </w:r>
      <w:r w:rsidRPr="00A62CA6">
        <w:rPr>
          <w:sz w:val="22"/>
          <w:szCs w:val="22"/>
        </w:rPr>
        <w:t>Tenderers  may not</w:t>
      </w:r>
      <w:r w:rsidR="00A62CA6" w:rsidRPr="00A62CA6">
        <w:rPr>
          <w:sz w:val="22"/>
          <w:szCs w:val="22"/>
        </w:rPr>
        <w:t xml:space="preserve"> </w:t>
      </w:r>
      <w:r w:rsidRPr="00A62CA6">
        <w:rPr>
          <w:sz w:val="22"/>
          <w:szCs w:val="22"/>
        </w:rPr>
        <w:t>submit</w:t>
      </w:r>
      <w:r>
        <w:rPr>
          <w:sz w:val="22"/>
          <w:szCs w:val="22"/>
        </w:rPr>
        <w:t xml:space="preserve"> a tender for a variant solution in addition to their tender for the works required in the tender dossier.</w:t>
      </w:r>
    </w:p>
    <w:p w14:paraId="21B82B33" w14:textId="40139A9F" w:rsidR="007560A9" w:rsidRPr="00EA0145" w:rsidRDefault="00844BF7">
      <w:pPr>
        <w:numPr>
          <w:ilvl w:val="0"/>
          <w:numId w:val="3"/>
        </w:numPr>
        <w:pBdr>
          <w:top w:val="nil"/>
          <w:left w:val="nil"/>
          <w:bottom w:val="nil"/>
          <w:right w:val="nil"/>
          <w:between w:val="nil"/>
        </w:pBdr>
        <w:rPr>
          <w:color w:val="000000"/>
        </w:rPr>
      </w:pPr>
      <w:r>
        <w:rPr>
          <w:b/>
          <w:color w:val="000000"/>
          <w:sz w:val="22"/>
          <w:szCs w:val="22"/>
        </w:rPr>
        <w:t>Tender guarantee</w:t>
      </w:r>
    </w:p>
    <w:p w14:paraId="0F396A19" w14:textId="35FD1CE1" w:rsidR="00EA0145" w:rsidRPr="00EA0145" w:rsidRDefault="00844BF7">
      <w:pPr>
        <w:ind w:left="709"/>
        <w:jc w:val="both"/>
        <w:rPr>
          <w:sz w:val="22"/>
          <w:szCs w:val="22"/>
        </w:rPr>
      </w:pPr>
      <w:r w:rsidRPr="00EA0145">
        <w:rPr>
          <w:sz w:val="22"/>
          <w:szCs w:val="22"/>
        </w:rPr>
        <w:t>Tenderers must provide a tender guarantee of</w:t>
      </w:r>
      <w:r w:rsidR="00EA0145" w:rsidRPr="00EA0145">
        <w:rPr>
          <w:sz w:val="22"/>
          <w:szCs w:val="22"/>
        </w:rPr>
        <w:t>:</w:t>
      </w:r>
    </w:p>
    <w:p w14:paraId="20291350" w14:textId="3D89CBF7" w:rsidR="00EA0145" w:rsidRPr="00EA0145" w:rsidRDefault="00EA0145">
      <w:pPr>
        <w:ind w:left="709"/>
        <w:jc w:val="both"/>
        <w:rPr>
          <w:sz w:val="22"/>
          <w:szCs w:val="22"/>
        </w:rPr>
      </w:pPr>
      <w:r w:rsidRPr="00EA0145">
        <w:rPr>
          <w:sz w:val="22"/>
          <w:szCs w:val="22"/>
        </w:rPr>
        <w:t>- 1</w:t>
      </w:r>
      <w:r w:rsidR="00A057C4">
        <w:rPr>
          <w:sz w:val="22"/>
          <w:szCs w:val="22"/>
        </w:rPr>
        <w:t>.</w:t>
      </w:r>
      <w:r w:rsidRPr="00EA0145">
        <w:rPr>
          <w:sz w:val="22"/>
          <w:szCs w:val="22"/>
        </w:rPr>
        <w:t>9</w:t>
      </w:r>
      <w:r w:rsidR="00A057C4">
        <w:rPr>
          <w:sz w:val="22"/>
          <w:szCs w:val="22"/>
        </w:rPr>
        <w:t>45</w:t>
      </w:r>
      <w:r w:rsidRPr="00EA0145">
        <w:rPr>
          <w:sz w:val="22"/>
          <w:szCs w:val="22"/>
        </w:rPr>
        <w:t>,</w:t>
      </w:r>
      <w:r w:rsidR="00A057C4">
        <w:rPr>
          <w:sz w:val="22"/>
          <w:szCs w:val="22"/>
        </w:rPr>
        <w:t>16</w:t>
      </w:r>
      <w:r w:rsidRPr="00EA0145">
        <w:rPr>
          <w:sz w:val="22"/>
          <w:szCs w:val="22"/>
        </w:rPr>
        <w:t>EUR/</w:t>
      </w:r>
      <w:r w:rsidR="00A057C4">
        <w:rPr>
          <w:sz w:val="22"/>
          <w:szCs w:val="22"/>
        </w:rPr>
        <w:t>3.804,40</w:t>
      </w:r>
      <w:r w:rsidRPr="00EA0145">
        <w:rPr>
          <w:sz w:val="22"/>
          <w:szCs w:val="22"/>
        </w:rPr>
        <w:t>BAM</w:t>
      </w:r>
    </w:p>
    <w:p w14:paraId="1F46A28F" w14:textId="4A6CB978" w:rsidR="00EA0145" w:rsidRPr="00EA0145" w:rsidRDefault="00EA0145">
      <w:pPr>
        <w:ind w:left="709"/>
        <w:jc w:val="both"/>
        <w:rPr>
          <w:sz w:val="22"/>
          <w:szCs w:val="22"/>
        </w:rPr>
      </w:pPr>
      <w:r w:rsidRPr="00EA0145">
        <w:rPr>
          <w:sz w:val="22"/>
          <w:szCs w:val="22"/>
        </w:rPr>
        <w:t>- 18</w:t>
      </w:r>
      <w:r w:rsidR="00A057C4">
        <w:rPr>
          <w:sz w:val="22"/>
          <w:szCs w:val="22"/>
        </w:rPr>
        <w:t>40</w:t>
      </w:r>
      <w:r w:rsidRPr="00EA0145">
        <w:rPr>
          <w:sz w:val="22"/>
          <w:szCs w:val="22"/>
        </w:rPr>
        <w:t>,</w:t>
      </w:r>
      <w:r w:rsidR="00A057C4">
        <w:rPr>
          <w:sz w:val="22"/>
          <w:szCs w:val="22"/>
        </w:rPr>
        <w:t>84</w:t>
      </w:r>
      <w:r w:rsidRPr="00EA0145">
        <w:rPr>
          <w:sz w:val="22"/>
          <w:szCs w:val="22"/>
        </w:rPr>
        <w:t>EUR/36</w:t>
      </w:r>
      <w:r w:rsidR="00A057C4">
        <w:rPr>
          <w:sz w:val="22"/>
          <w:szCs w:val="22"/>
        </w:rPr>
        <w:t>00</w:t>
      </w:r>
      <w:r w:rsidRPr="00EA0145">
        <w:rPr>
          <w:sz w:val="22"/>
          <w:szCs w:val="22"/>
        </w:rPr>
        <w:t>,</w:t>
      </w:r>
      <w:r w:rsidR="00A057C4">
        <w:rPr>
          <w:sz w:val="22"/>
          <w:szCs w:val="22"/>
        </w:rPr>
        <w:t>37</w:t>
      </w:r>
      <w:r w:rsidRPr="00EA0145">
        <w:rPr>
          <w:sz w:val="22"/>
          <w:szCs w:val="22"/>
        </w:rPr>
        <w:t>BAM</w:t>
      </w:r>
    </w:p>
    <w:p w14:paraId="43D9BCD1" w14:textId="015A91ED" w:rsidR="007560A9" w:rsidRDefault="00EA0145">
      <w:pPr>
        <w:ind w:left="709"/>
        <w:jc w:val="both"/>
        <w:rPr>
          <w:sz w:val="22"/>
          <w:szCs w:val="22"/>
        </w:rPr>
      </w:pPr>
      <w:r w:rsidRPr="00EA0145">
        <w:rPr>
          <w:sz w:val="22"/>
          <w:szCs w:val="22"/>
        </w:rPr>
        <w:t>- or 3786,00EUR/7407,7</w:t>
      </w:r>
      <w:r w:rsidR="00A057C4">
        <w:rPr>
          <w:sz w:val="22"/>
          <w:szCs w:val="22"/>
        </w:rPr>
        <w:t>7</w:t>
      </w:r>
      <w:r w:rsidRPr="00EA0145">
        <w:rPr>
          <w:sz w:val="22"/>
          <w:szCs w:val="22"/>
        </w:rPr>
        <w:t>BAM (</w:t>
      </w:r>
      <w:r w:rsidR="00844BF7" w:rsidRPr="00EA0145">
        <w:rPr>
          <w:sz w:val="22"/>
          <w:szCs w:val="22"/>
        </w:rPr>
        <w:t>2% of the budget available for the contract</w:t>
      </w:r>
      <w:r w:rsidRPr="00EA0145">
        <w:rPr>
          <w:sz w:val="22"/>
          <w:szCs w:val="22"/>
        </w:rPr>
        <w:t xml:space="preserve">) if applying for both LOTs </w:t>
      </w:r>
      <w:r w:rsidR="00844BF7" w:rsidRPr="00EA0145">
        <w:rPr>
          <w:sz w:val="22"/>
          <w:szCs w:val="22"/>
        </w:rPr>
        <w:t>, when submitting their tender. This guarantee will be released to unsuccessful tenderers once the tender procedure has been completed and to the successful tenderer[s] upon signature of the contract by all parties</w:t>
      </w:r>
      <w:r>
        <w:rPr>
          <w:sz w:val="22"/>
          <w:szCs w:val="22"/>
        </w:rPr>
        <w:t>.</w:t>
      </w:r>
    </w:p>
    <w:p w14:paraId="4FCBE93B" w14:textId="232EE4C0" w:rsidR="007560A9" w:rsidRPr="00EA0145" w:rsidRDefault="00844BF7" w:rsidP="00EA0145">
      <w:pPr>
        <w:numPr>
          <w:ilvl w:val="0"/>
          <w:numId w:val="3"/>
        </w:numPr>
        <w:pBdr>
          <w:top w:val="nil"/>
          <w:left w:val="nil"/>
          <w:bottom w:val="nil"/>
          <w:right w:val="nil"/>
          <w:between w:val="nil"/>
        </w:pBdr>
        <w:rPr>
          <w:color w:val="000000"/>
        </w:rPr>
      </w:pPr>
      <w:r>
        <w:rPr>
          <w:b/>
          <w:color w:val="000000"/>
          <w:sz w:val="22"/>
          <w:szCs w:val="22"/>
        </w:rPr>
        <w:t>Performance guarantee</w:t>
      </w:r>
    </w:p>
    <w:p w14:paraId="42009766" w14:textId="3F297451" w:rsidR="007560A9" w:rsidRDefault="00844BF7">
      <w:pPr>
        <w:ind w:left="709"/>
        <w:jc w:val="both"/>
        <w:rPr>
          <w:sz w:val="22"/>
          <w:szCs w:val="22"/>
        </w:rPr>
      </w:pPr>
      <w:r>
        <w:rPr>
          <w:sz w:val="22"/>
          <w:szCs w:val="22"/>
        </w:rPr>
        <w:t xml:space="preserve">The successful tenderer will be asked to provide a performance guarantee of </w:t>
      </w:r>
      <w:r w:rsidRPr="00EA0145">
        <w:rPr>
          <w:sz w:val="22"/>
          <w:szCs w:val="22"/>
        </w:rPr>
        <w:t>10%</w:t>
      </w:r>
      <w:r w:rsidR="00EA0145" w:rsidRPr="00EA0145">
        <w:rPr>
          <w:sz w:val="22"/>
          <w:szCs w:val="22"/>
        </w:rPr>
        <w:t xml:space="preserve"> </w:t>
      </w:r>
      <w:r w:rsidRPr="00EA0145">
        <w:rPr>
          <w:sz w:val="22"/>
          <w:szCs w:val="22"/>
        </w:rPr>
        <w:t>of</w:t>
      </w:r>
      <w:r>
        <w:rPr>
          <w:sz w:val="22"/>
          <w:szCs w:val="22"/>
        </w:rPr>
        <w:t xml:space="preserve">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4C86998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Information meeting and/or site visit</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097"/>
        <w:gridCol w:w="2156"/>
      </w:tblGrid>
      <w:tr w:rsidR="006B2047" w14:paraId="5FEFC8D1" w14:textId="77777777" w:rsidTr="00C069F8">
        <w:tc>
          <w:tcPr>
            <w:tcW w:w="3969" w:type="dxa"/>
            <w:tcBorders>
              <w:bottom w:val="nil"/>
            </w:tcBorders>
            <w:shd w:val="clear" w:color="auto" w:fill="auto"/>
          </w:tcPr>
          <w:p w14:paraId="1C84739C" w14:textId="77777777" w:rsidR="006B2047" w:rsidRDefault="006B2047" w:rsidP="00C069F8">
            <w:pPr>
              <w:ind w:left="34"/>
            </w:pPr>
          </w:p>
        </w:tc>
        <w:tc>
          <w:tcPr>
            <w:tcW w:w="2097" w:type="dxa"/>
            <w:shd w:val="clear" w:color="auto" w:fill="E6E6E6"/>
          </w:tcPr>
          <w:p w14:paraId="2053D648" w14:textId="77777777" w:rsidR="006B2047" w:rsidRDefault="006B2047" w:rsidP="00C069F8">
            <w:pPr>
              <w:ind w:left="34"/>
              <w:jc w:val="center"/>
              <w:rPr>
                <w:sz w:val="18"/>
                <w:szCs w:val="18"/>
              </w:rPr>
            </w:pPr>
            <w:r>
              <w:rPr>
                <w:b/>
                <w:sz w:val="18"/>
                <w:szCs w:val="18"/>
              </w:rPr>
              <w:t>DATE</w:t>
            </w:r>
          </w:p>
        </w:tc>
        <w:tc>
          <w:tcPr>
            <w:tcW w:w="2156" w:type="dxa"/>
            <w:tcBorders>
              <w:bottom w:val="nil"/>
            </w:tcBorders>
            <w:shd w:val="clear" w:color="auto" w:fill="E6E6E6"/>
          </w:tcPr>
          <w:p w14:paraId="4B503AE2" w14:textId="77777777" w:rsidR="006B2047" w:rsidRDefault="006B2047" w:rsidP="00C069F8">
            <w:pPr>
              <w:ind w:left="34"/>
              <w:jc w:val="center"/>
              <w:rPr>
                <w:sz w:val="18"/>
                <w:szCs w:val="18"/>
              </w:rPr>
            </w:pPr>
            <w:r>
              <w:rPr>
                <w:b/>
                <w:sz w:val="18"/>
                <w:szCs w:val="18"/>
              </w:rPr>
              <w:t>TIME*</w:t>
            </w:r>
          </w:p>
        </w:tc>
      </w:tr>
      <w:tr w:rsidR="006B2047" w14:paraId="588B84EA" w14:textId="77777777" w:rsidTr="00C069F8">
        <w:tc>
          <w:tcPr>
            <w:tcW w:w="3969" w:type="dxa"/>
            <w:shd w:val="clear" w:color="auto" w:fill="E6E6E6"/>
          </w:tcPr>
          <w:p w14:paraId="0CF7D62A" w14:textId="77777777" w:rsidR="006B2047" w:rsidRDefault="006B2047" w:rsidP="00C069F8">
            <w:pPr>
              <w:spacing w:before="60" w:after="60"/>
              <w:ind w:left="34"/>
            </w:pPr>
            <w:r>
              <w:rPr>
                <w:b/>
              </w:rPr>
              <w:t xml:space="preserve">Clarification meeting </w:t>
            </w:r>
          </w:p>
        </w:tc>
        <w:tc>
          <w:tcPr>
            <w:tcW w:w="2097" w:type="dxa"/>
          </w:tcPr>
          <w:p w14:paraId="1ADFD3BD" w14:textId="77777777" w:rsidR="006B2047" w:rsidRDefault="006B2047" w:rsidP="00C069F8">
            <w:pPr>
              <w:spacing w:before="60" w:after="60"/>
              <w:ind w:left="34"/>
            </w:pPr>
            <w:r>
              <w:t>-</w:t>
            </w:r>
          </w:p>
        </w:tc>
        <w:tc>
          <w:tcPr>
            <w:tcW w:w="2156" w:type="dxa"/>
          </w:tcPr>
          <w:p w14:paraId="17CAC245" w14:textId="77777777" w:rsidR="006B2047" w:rsidRDefault="006B2047" w:rsidP="00C069F8">
            <w:pPr>
              <w:spacing w:before="60" w:after="60"/>
              <w:ind w:left="34"/>
              <w:jc w:val="center"/>
            </w:pPr>
            <w:r>
              <w:t>-</w:t>
            </w:r>
          </w:p>
        </w:tc>
      </w:tr>
      <w:tr w:rsidR="006B2047" w14:paraId="498E6AA5" w14:textId="77777777" w:rsidTr="00C069F8">
        <w:tc>
          <w:tcPr>
            <w:tcW w:w="3969" w:type="dxa"/>
            <w:shd w:val="clear" w:color="auto" w:fill="E6E6E6"/>
          </w:tcPr>
          <w:p w14:paraId="7B76F985" w14:textId="77777777" w:rsidR="006B2047" w:rsidRDefault="006B2047" w:rsidP="00C069F8">
            <w:pPr>
              <w:spacing w:before="60" w:after="60"/>
              <w:ind w:left="34"/>
            </w:pPr>
            <w:r>
              <w:rPr>
                <w:b/>
              </w:rPr>
              <w:t>Site visit</w:t>
            </w:r>
          </w:p>
        </w:tc>
        <w:tc>
          <w:tcPr>
            <w:tcW w:w="2097" w:type="dxa"/>
          </w:tcPr>
          <w:p w14:paraId="1E4F4E77" w14:textId="2EA7BE9D" w:rsidR="006B2047" w:rsidRDefault="000E2F45" w:rsidP="00C069F8">
            <w:pPr>
              <w:spacing w:before="60" w:after="60"/>
              <w:ind w:left="34"/>
            </w:pPr>
            <w:r>
              <w:t>23.09.</w:t>
            </w:r>
            <w:r w:rsidR="006B2047">
              <w:t xml:space="preserve">2022. </w:t>
            </w:r>
          </w:p>
          <w:p w14:paraId="6381FB7A" w14:textId="77777777" w:rsidR="006B2047" w:rsidRDefault="006B2047" w:rsidP="00C069F8">
            <w:pPr>
              <w:spacing w:before="60" w:after="60"/>
              <w:ind w:left="34"/>
            </w:pPr>
            <w:r>
              <w:t>- park Kantarecvac</w:t>
            </w:r>
          </w:p>
          <w:p w14:paraId="0C9965C5" w14:textId="77777777" w:rsidR="006B2047" w:rsidRDefault="006B2047" w:rsidP="00C069F8">
            <w:pPr>
              <w:spacing w:before="60" w:after="60"/>
              <w:ind w:left="34"/>
            </w:pPr>
            <w:r>
              <w:t>- Centar Los Rosales</w:t>
            </w:r>
          </w:p>
        </w:tc>
        <w:tc>
          <w:tcPr>
            <w:tcW w:w="2156" w:type="dxa"/>
          </w:tcPr>
          <w:p w14:paraId="73E1E000" w14:textId="77777777" w:rsidR="006B2047" w:rsidRDefault="006B2047" w:rsidP="00C069F8">
            <w:pPr>
              <w:spacing w:before="60" w:after="60"/>
              <w:ind w:left="34"/>
              <w:jc w:val="center"/>
            </w:pPr>
          </w:p>
          <w:p w14:paraId="3B5B4B00" w14:textId="77777777" w:rsidR="006B2047" w:rsidRDefault="006B2047" w:rsidP="00C069F8">
            <w:pPr>
              <w:spacing w:before="60" w:after="60"/>
              <w:ind w:left="34"/>
              <w:jc w:val="center"/>
            </w:pPr>
            <w:r>
              <w:t>9:00am - 10:00am</w:t>
            </w:r>
          </w:p>
          <w:p w14:paraId="3859012A" w14:textId="77777777" w:rsidR="006B2047" w:rsidRDefault="006B2047" w:rsidP="00C069F8">
            <w:pPr>
              <w:spacing w:before="60" w:after="60"/>
              <w:ind w:left="34"/>
              <w:jc w:val="center"/>
            </w:pPr>
            <w:r>
              <w:t>11:00am - 12:00pm</w:t>
            </w:r>
          </w:p>
        </w:tc>
      </w:tr>
      <w:tr w:rsidR="006B2047" w14:paraId="10FD419E" w14:textId="77777777" w:rsidTr="00C069F8">
        <w:tc>
          <w:tcPr>
            <w:tcW w:w="3969" w:type="dxa"/>
            <w:shd w:val="clear" w:color="auto" w:fill="E6E6E6"/>
          </w:tcPr>
          <w:p w14:paraId="779E133B" w14:textId="77777777" w:rsidR="006B2047" w:rsidRDefault="006B2047" w:rsidP="00C069F8">
            <w:pPr>
              <w:spacing w:before="60" w:after="60"/>
              <w:ind w:left="34"/>
            </w:pPr>
            <w:r>
              <w:rPr>
                <w:b/>
              </w:rPr>
              <w:t>Deadline for requesting any additional information from the Contracting Authority</w:t>
            </w:r>
          </w:p>
        </w:tc>
        <w:tc>
          <w:tcPr>
            <w:tcW w:w="2097" w:type="dxa"/>
          </w:tcPr>
          <w:p w14:paraId="0654AFBB" w14:textId="13A3093D" w:rsidR="006B2047" w:rsidRDefault="000E2F45" w:rsidP="00C069F8">
            <w:pPr>
              <w:spacing w:before="60" w:after="60"/>
              <w:ind w:left="34"/>
            </w:pPr>
            <w:r>
              <w:t>24.09.</w:t>
            </w:r>
            <w:r w:rsidR="006B2047">
              <w:t>2022.</w:t>
            </w:r>
          </w:p>
        </w:tc>
        <w:tc>
          <w:tcPr>
            <w:tcW w:w="2156" w:type="dxa"/>
          </w:tcPr>
          <w:p w14:paraId="79E63E9F" w14:textId="77777777" w:rsidR="006B2047" w:rsidRDefault="006B2047" w:rsidP="00C069F8">
            <w:pPr>
              <w:spacing w:before="60" w:after="60"/>
              <w:ind w:left="34"/>
              <w:jc w:val="center"/>
            </w:pPr>
            <w:r>
              <w:t>3:00pm</w:t>
            </w:r>
          </w:p>
        </w:tc>
      </w:tr>
      <w:tr w:rsidR="006B2047" w14:paraId="6D2457D4" w14:textId="77777777" w:rsidTr="00C069F8">
        <w:tc>
          <w:tcPr>
            <w:tcW w:w="3969" w:type="dxa"/>
            <w:shd w:val="clear" w:color="auto" w:fill="E6E6E6"/>
          </w:tcPr>
          <w:p w14:paraId="5ECAF495" w14:textId="77777777" w:rsidR="006B2047" w:rsidRDefault="006B2047" w:rsidP="00C069F8">
            <w:pPr>
              <w:spacing w:before="60" w:after="60"/>
              <w:ind w:left="34"/>
            </w:pPr>
            <w:r>
              <w:rPr>
                <w:b/>
              </w:rPr>
              <w:t>Last date on which additional information are issued by the Contracting Authority</w:t>
            </w:r>
          </w:p>
        </w:tc>
        <w:tc>
          <w:tcPr>
            <w:tcW w:w="2097" w:type="dxa"/>
          </w:tcPr>
          <w:p w14:paraId="2B15DC16" w14:textId="2627D7F1" w:rsidR="006B2047" w:rsidRDefault="000E2F45" w:rsidP="00C069F8">
            <w:pPr>
              <w:spacing w:before="60" w:after="60"/>
              <w:ind w:left="34"/>
            </w:pPr>
            <w:r>
              <w:t>04.10.</w:t>
            </w:r>
            <w:r w:rsidR="006B2047">
              <w:t>2022.</w:t>
            </w:r>
          </w:p>
        </w:tc>
        <w:tc>
          <w:tcPr>
            <w:tcW w:w="2156" w:type="dxa"/>
          </w:tcPr>
          <w:p w14:paraId="00A8F750" w14:textId="77777777" w:rsidR="006B2047" w:rsidRDefault="006B2047" w:rsidP="00C069F8">
            <w:pPr>
              <w:spacing w:before="60" w:after="60"/>
              <w:ind w:left="34"/>
              <w:jc w:val="center"/>
            </w:pPr>
            <w:r>
              <w:t>3:00pm</w:t>
            </w:r>
          </w:p>
        </w:tc>
      </w:tr>
      <w:tr w:rsidR="006B2047" w14:paraId="7DF97B5E" w14:textId="77777777" w:rsidTr="00C069F8">
        <w:tc>
          <w:tcPr>
            <w:tcW w:w="3969" w:type="dxa"/>
            <w:shd w:val="clear" w:color="auto" w:fill="E6E6E6"/>
          </w:tcPr>
          <w:p w14:paraId="264A60D2" w14:textId="77777777" w:rsidR="006B2047" w:rsidRDefault="006B2047" w:rsidP="00C069F8">
            <w:pPr>
              <w:spacing w:before="60" w:after="60"/>
              <w:ind w:left="34"/>
            </w:pPr>
            <w:r>
              <w:rPr>
                <w:b/>
              </w:rPr>
              <w:t>Deadline for submitting tenders</w:t>
            </w:r>
          </w:p>
        </w:tc>
        <w:tc>
          <w:tcPr>
            <w:tcW w:w="2097" w:type="dxa"/>
          </w:tcPr>
          <w:p w14:paraId="0E712099" w14:textId="5056BE34" w:rsidR="006B2047" w:rsidRDefault="000E2F45" w:rsidP="00C069F8">
            <w:pPr>
              <w:spacing w:before="60" w:after="60"/>
              <w:ind w:left="34"/>
            </w:pPr>
            <w:r>
              <w:t>17.10.</w:t>
            </w:r>
            <w:r w:rsidR="006B2047">
              <w:t>2022.</w:t>
            </w:r>
          </w:p>
        </w:tc>
        <w:tc>
          <w:tcPr>
            <w:tcW w:w="2156" w:type="dxa"/>
          </w:tcPr>
          <w:p w14:paraId="24FC4BED" w14:textId="77777777" w:rsidR="006B2047" w:rsidRDefault="006B2047" w:rsidP="00C069F8">
            <w:pPr>
              <w:spacing w:before="60" w:after="60"/>
              <w:ind w:left="34"/>
              <w:jc w:val="center"/>
            </w:pPr>
            <w:r>
              <w:t>11:00am</w:t>
            </w:r>
          </w:p>
        </w:tc>
      </w:tr>
      <w:tr w:rsidR="006B2047" w14:paraId="4055ED1B" w14:textId="77777777" w:rsidTr="00C069F8">
        <w:tc>
          <w:tcPr>
            <w:tcW w:w="3969" w:type="dxa"/>
            <w:shd w:val="clear" w:color="auto" w:fill="E6E6E6"/>
          </w:tcPr>
          <w:p w14:paraId="66FEAECC" w14:textId="77777777" w:rsidR="006B2047" w:rsidRDefault="006B2047" w:rsidP="00C069F8">
            <w:pPr>
              <w:spacing w:before="60" w:after="60"/>
              <w:ind w:left="34"/>
            </w:pPr>
            <w:r>
              <w:rPr>
                <w:b/>
              </w:rPr>
              <w:lastRenderedPageBreak/>
              <w:t>Tender opening session</w:t>
            </w:r>
          </w:p>
        </w:tc>
        <w:tc>
          <w:tcPr>
            <w:tcW w:w="2097" w:type="dxa"/>
          </w:tcPr>
          <w:p w14:paraId="5384A671" w14:textId="7E1F893E" w:rsidR="006B2047" w:rsidRDefault="000E2F45" w:rsidP="00C069F8">
            <w:pPr>
              <w:spacing w:before="60" w:after="60"/>
              <w:ind w:left="34"/>
            </w:pPr>
            <w:r>
              <w:t>17.10.</w:t>
            </w:r>
            <w:r w:rsidR="006B2047">
              <w:t>2022.</w:t>
            </w:r>
          </w:p>
        </w:tc>
        <w:tc>
          <w:tcPr>
            <w:tcW w:w="2156" w:type="dxa"/>
          </w:tcPr>
          <w:p w14:paraId="22F23131" w14:textId="75E6E285" w:rsidR="006B2047" w:rsidRDefault="006B2047" w:rsidP="00C069F8">
            <w:pPr>
              <w:spacing w:before="60" w:after="60"/>
              <w:ind w:left="34"/>
              <w:jc w:val="center"/>
            </w:pPr>
            <w:r>
              <w:t>1</w:t>
            </w:r>
            <w:r w:rsidR="007649C6">
              <w:t>2</w:t>
            </w:r>
            <w:r>
              <w:t>:00pm</w:t>
            </w:r>
          </w:p>
        </w:tc>
      </w:tr>
      <w:tr w:rsidR="006B2047" w14:paraId="3778523F" w14:textId="77777777" w:rsidTr="00C069F8">
        <w:tc>
          <w:tcPr>
            <w:tcW w:w="3969" w:type="dxa"/>
            <w:shd w:val="clear" w:color="auto" w:fill="E6E6E6"/>
          </w:tcPr>
          <w:p w14:paraId="3B760983" w14:textId="77777777" w:rsidR="006B2047" w:rsidRDefault="006B2047" w:rsidP="00C069F8">
            <w:pPr>
              <w:spacing w:before="60" w:after="60"/>
              <w:ind w:left="34"/>
            </w:pPr>
            <w:r>
              <w:rPr>
                <w:b/>
              </w:rPr>
              <w:t>Notification of award to the successful tenderer</w:t>
            </w:r>
          </w:p>
        </w:tc>
        <w:tc>
          <w:tcPr>
            <w:tcW w:w="2097" w:type="dxa"/>
          </w:tcPr>
          <w:p w14:paraId="3A57C53A" w14:textId="3393BE0F" w:rsidR="006B2047" w:rsidRDefault="000E2F45" w:rsidP="00C069F8">
            <w:pPr>
              <w:spacing w:before="60" w:after="60"/>
              <w:ind w:left="34"/>
            </w:pPr>
            <w:r>
              <w:t>20.10.</w:t>
            </w:r>
            <w:r w:rsidR="006B2047">
              <w:t>2022.</w:t>
            </w:r>
          </w:p>
        </w:tc>
        <w:tc>
          <w:tcPr>
            <w:tcW w:w="2156" w:type="dxa"/>
          </w:tcPr>
          <w:p w14:paraId="5436055B" w14:textId="77777777" w:rsidR="006B2047" w:rsidRDefault="006B2047" w:rsidP="00C069F8">
            <w:pPr>
              <w:spacing w:before="60" w:after="60"/>
              <w:ind w:left="34"/>
              <w:jc w:val="center"/>
            </w:pPr>
            <w:r>
              <w:t>3:00pm</w:t>
            </w:r>
          </w:p>
        </w:tc>
      </w:tr>
      <w:tr w:rsidR="006B2047" w14:paraId="11143CE0" w14:textId="77777777" w:rsidTr="00C069F8">
        <w:tc>
          <w:tcPr>
            <w:tcW w:w="3969" w:type="dxa"/>
            <w:shd w:val="clear" w:color="auto" w:fill="E6E6E6"/>
          </w:tcPr>
          <w:p w14:paraId="1DF7FABA" w14:textId="77777777" w:rsidR="006B2047" w:rsidRDefault="006B2047" w:rsidP="00C069F8">
            <w:pPr>
              <w:spacing w:before="60" w:after="60"/>
              <w:ind w:left="34"/>
            </w:pPr>
            <w:r>
              <w:rPr>
                <w:b/>
              </w:rPr>
              <w:t>Signature of the contract</w:t>
            </w:r>
          </w:p>
        </w:tc>
        <w:tc>
          <w:tcPr>
            <w:tcW w:w="2097" w:type="dxa"/>
          </w:tcPr>
          <w:p w14:paraId="4D5A821E" w14:textId="5B02414D" w:rsidR="006B2047" w:rsidRDefault="000E2F45" w:rsidP="00C069F8">
            <w:pPr>
              <w:spacing w:before="60" w:after="60"/>
              <w:ind w:left="34"/>
            </w:pPr>
            <w:r>
              <w:t>25.10.</w:t>
            </w:r>
            <w:r w:rsidR="006B2047">
              <w:t>2022.</w:t>
            </w:r>
          </w:p>
        </w:tc>
        <w:tc>
          <w:tcPr>
            <w:tcW w:w="2156" w:type="dxa"/>
          </w:tcPr>
          <w:p w14:paraId="243E9CDB" w14:textId="77777777" w:rsidR="006B2047" w:rsidRDefault="006B2047" w:rsidP="00C069F8">
            <w:pPr>
              <w:spacing w:before="60" w:after="60"/>
              <w:ind w:left="34"/>
              <w:jc w:val="center"/>
            </w:pPr>
            <w:r>
              <w:t>11:00am</w:t>
            </w:r>
          </w:p>
        </w:tc>
      </w:tr>
    </w:tbl>
    <w:p w14:paraId="499D612A" w14:textId="77777777" w:rsidR="006B2047" w:rsidRPr="006B2047" w:rsidRDefault="006B2047" w:rsidP="006B2047">
      <w:pPr>
        <w:pBdr>
          <w:top w:val="nil"/>
          <w:left w:val="nil"/>
          <w:bottom w:val="nil"/>
          <w:right w:val="nil"/>
          <w:between w:val="nil"/>
        </w:pBdr>
        <w:rPr>
          <w:color w:val="000000"/>
        </w:rPr>
      </w:pPr>
    </w:p>
    <w:p w14:paraId="05318581" w14:textId="1B8EA003" w:rsidR="007560A9" w:rsidRDefault="00844BF7">
      <w:pPr>
        <w:numPr>
          <w:ilvl w:val="0"/>
          <w:numId w:val="3"/>
        </w:numPr>
        <w:pBdr>
          <w:top w:val="nil"/>
          <w:left w:val="nil"/>
          <w:bottom w:val="nil"/>
          <w:right w:val="nil"/>
          <w:between w:val="nil"/>
        </w:pBdr>
        <w:rPr>
          <w:color w:val="000000"/>
        </w:rPr>
      </w:pPr>
      <w:r>
        <w:rPr>
          <w:b/>
          <w:color w:val="000000"/>
          <w:sz w:val="22"/>
          <w:szCs w:val="22"/>
        </w:rPr>
        <w:t>Tender validity</w:t>
      </w:r>
    </w:p>
    <w:p w14:paraId="57DB5285" w14:textId="5EA32E45" w:rsidR="007560A9" w:rsidRDefault="00844BF7">
      <w:pPr>
        <w:ind w:left="709"/>
        <w:rPr>
          <w:sz w:val="22"/>
          <w:szCs w:val="22"/>
        </w:rPr>
      </w:pPr>
      <w:r>
        <w:rPr>
          <w:sz w:val="22"/>
          <w:szCs w:val="22"/>
        </w:rPr>
        <w:t>Tenders must remain valid for a period of 90 days after the deadline for submission of tenders.</w:t>
      </w:r>
      <w:r>
        <w:t xml:space="preserve"> </w:t>
      </w:r>
      <w:r>
        <w:rPr>
          <w:sz w:val="22"/>
          <w:szCs w:val="22"/>
        </w:rPr>
        <w:t>In exceptional circumstances, the Contracting Authority may, before the validity period expires, request that tenderers extend the validity of tenders for a specific period.</w:t>
      </w:r>
    </w:p>
    <w:p w14:paraId="13F99C0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Period of implementation of tasks</w:t>
      </w:r>
    </w:p>
    <w:p w14:paraId="422FFE6A" w14:textId="49ACA188" w:rsidR="00EA0145" w:rsidRDefault="00EA0145">
      <w:pPr>
        <w:ind w:left="709" w:right="1"/>
        <w:jc w:val="both"/>
        <w:rPr>
          <w:sz w:val="22"/>
          <w:szCs w:val="22"/>
        </w:rPr>
      </w:pPr>
      <w:bookmarkStart w:id="7" w:name="_Hlk109330404"/>
      <w:r>
        <w:rPr>
          <w:sz w:val="22"/>
          <w:szCs w:val="22"/>
        </w:rPr>
        <w:t xml:space="preserve">Implementation period: 60 days starting </w:t>
      </w:r>
      <w:r w:rsidRPr="000E2F45">
        <w:rPr>
          <w:sz w:val="22"/>
          <w:szCs w:val="22"/>
        </w:rPr>
        <w:t>from 1</w:t>
      </w:r>
      <w:r w:rsidRPr="000E2F45">
        <w:rPr>
          <w:sz w:val="22"/>
          <w:szCs w:val="22"/>
          <w:vertAlign w:val="superscript"/>
        </w:rPr>
        <w:t>st</w:t>
      </w:r>
      <w:r w:rsidRPr="000E2F45">
        <w:rPr>
          <w:sz w:val="22"/>
          <w:szCs w:val="22"/>
        </w:rPr>
        <w:t xml:space="preserve"> of </w:t>
      </w:r>
      <w:r w:rsidR="000E2F45" w:rsidRPr="000E2F45">
        <w:rPr>
          <w:sz w:val="22"/>
          <w:szCs w:val="22"/>
        </w:rPr>
        <w:t>November.</w:t>
      </w:r>
      <w:r w:rsidR="00883A19" w:rsidRPr="000E2F45">
        <w:rPr>
          <w:sz w:val="22"/>
          <w:szCs w:val="22"/>
        </w:rPr>
        <w:t xml:space="preserve"> This period </w:t>
      </w:r>
      <w:r w:rsidR="00883A19" w:rsidRPr="00883A19">
        <w:rPr>
          <w:sz w:val="22"/>
          <w:szCs w:val="22"/>
        </w:rPr>
        <w:t>include works, delivery, equipment installation and testing</w:t>
      </w:r>
      <w:r w:rsidR="00883A19">
        <w:rPr>
          <w:sz w:val="22"/>
          <w:szCs w:val="22"/>
        </w:rPr>
        <w:t>.</w:t>
      </w:r>
    </w:p>
    <w:bookmarkEnd w:id="7"/>
    <w:p w14:paraId="1187D813" w14:textId="77777777" w:rsidR="00883A19" w:rsidRDefault="00883A19">
      <w:pPr>
        <w:ind w:left="709" w:right="1"/>
        <w:jc w:val="both"/>
        <w:rPr>
          <w:sz w:val="22"/>
          <w:szCs w:val="22"/>
        </w:rPr>
      </w:pPr>
    </w:p>
    <w:p w14:paraId="4922CCC4" w14:textId="77777777" w:rsidR="007560A9" w:rsidRDefault="00844BF7">
      <w:pPr>
        <w:keepNext/>
        <w:keepLines/>
        <w:rPr>
          <w:sz w:val="22"/>
          <w:szCs w:val="22"/>
        </w:rPr>
      </w:pPr>
      <w:r>
        <w:rPr>
          <w:noProof/>
          <w:lang w:val="bs-Latn-BA" w:eastAsia="bs-Latn-BA"/>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15DA846"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77777777" w:rsidR="007560A9" w:rsidRDefault="00844BF7">
      <w:pPr>
        <w:keepNext/>
        <w:keepLines/>
        <w:ind w:left="360"/>
        <w:jc w:val="center"/>
        <w:rPr>
          <w:b/>
          <w:sz w:val="22"/>
          <w:szCs w:val="22"/>
        </w:rPr>
      </w:pPr>
      <w:r>
        <w:rPr>
          <w:b/>
          <w:sz w:val="22"/>
          <w:szCs w:val="22"/>
        </w:rPr>
        <w:t>SELECTION AND AWARD CRITERIA</w:t>
      </w:r>
    </w:p>
    <w:p w14:paraId="0D426A42" w14:textId="49182783" w:rsidR="007560A9" w:rsidRPr="009B626E" w:rsidRDefault="00844BF7">
      <w:pPr>
        <w:numPr>
          <w:ilvl w:val="0"/>
          <w:numId w:val="3"/>
        </w:numPr>
        <w:pBdr>
          <w:top w:val="nil"/>
          <w:left w:val="nil"/>
          <w:bottom w:val="nil"/>
          <w:right w:val="nil"/>
          <w:between w:val="nil"/>
        </w:pBdr>
        <w:rPr>
          <w:color w:val="000000"/>
          <w:sz w:val="22"/>
          <w:szCs w:val="22"/>
        </w:rPr>
      </w:pPr>
      <w:r w:rsidRPr="009B626E">
        <w:rPr>
          <w:b/>
          <w:color w:val="000000"/>
          <w:sz w:val="22"/>
          <w:szCs w:val="22"/>
        </w:rPr>
        <w:t>Selection criteria</w:t>
      </w:r>
    </w:p>
    <w:p w14:paraId="3C6D57C9" w14:textId="63D565CF"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16.1 The selection criteria for each tenderer are as follows:</w:t>
      </w:r>
    </w:p>
    <w:p w14:paraId="3EB0B320" w14:textId="782F23B5" w:rsidR="005C6B50" w:rsidRPr="000E2F45" w:rsidRDefault="005C6B50" w:rsidP="005C6B50">
      <w:pPr>
        <w:pBdr>
          <w:top w:val="nil"/>
          <w:left w:val="nil"/>
          <w:bottom w:val="nil"/>
          <w:right w:val="nil"/>
          <w:between w:val="nil"/>
        </w:pBdr>
        <w:rPr>
          <w:sz w:val="22"/>
          <w:szCs w:val="22"/>
        </w:rPr>
      </w:pPr>
      <w:r w:rsidRPr="009B626E">
        <w:rPr>
          <w:color w:val="000000"/>
          <w:sz w:val="22"/>
          <w:szCs w:val="22"/>
        </w:rPr>
        <w:t xml:space="preserve">● </w:t>
      </w:r>
      <w:r w:rsidRPr="009B626E">
        <w:rPr>
          <w:color w:val="000000"/>
          <w:sz w:val="22"/>
          <w:szCs w:val="22"/>
        </w:rPr>
        <w:tab/>
        <w:t>the tenderer has delivered works under at least 5 contract[s] with a budget of at least 150.000.00EUR/293.374,50BAM in construction work / purchase of equipment, which were implemented during the following period: 5 years from the submission  deadline</w:t>
      </w:r>
      <w:r w:rsidRPr="000E2F45">
        <w:rPr>
          <w:sz w:val="22"/>
          <w:szCs w:val="22"/>
        </w:rPr>
        <w:t xml:space="preserve">, </w:t>
      </w:r>
      <w:r w:rsidR="000E2F45">
        <w:rPr>
          <w:sz w:val="22"/>
          <w:szCs w:val="22"/>
        </w:rPr>
        <w:t>17.10</w:t>
      </w:r>
      <w:r w:rsidRPr="000E2F45">
        <w:rPr>
          <w:sz w:val="22"/>
          <w:szCs w:val="22"/>
        </w:rPr>
        <w:t>.2022.</w:t>
      </w:r>
    </w:p>
    <w:p w14:paraId="67F3C622" w14:textId="0983B7DD"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ab/>
        <w:t xml:space="preserve">16.1.1 In order to be eligible for the award of the contract, tenderers must provide evidence that they meet the selection criteria. This must be provided by tenderers using the forms described in 12.1 of Instruction for </w:t>
      </w:r>
      <w:r w:rsidR="009B626E" w:rsidRPr="009B626E">
        <w:rPr>
          <w:color w:val="000000"/>
          <w:sz w:val="22"/>
          <w:szCs w:val="22"/>
        </w:rPr>
        <w:t>tenderers</w:t>
      </w:r>
      <w:r w:rsidRPr="009B626E">
        <w:rPr>
          <w:color w:val="000000"/>
          <w:sz w:val="22"/>
          <w:szCs w:val="22"/>
        </w:rPr>
        <w:t xml:space="preserve"> and any additional forms tenderers may wish to use.</w:t>
      </w:r>
    </w:p>
    <w:p w14:paraId="0E04F819" w14:textId="39274EDA"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16.1.2 If a tender is submitted by a consortium, unless specified, the selection criteria will be applied to the consortium as a whole.</w:t>
      </w:r>
    </w:p>
    <w:p w14:paraId="018F6C6A" w14:textId="6E338EC6"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ab/>
      </w:r>
      <w:r w:rsidRPr="009B626E">
        <w:rPr>
          <w:color w:val="000000"/>
          <w:sz w:val="22"/>
          <w:szCs w:val="22"/>
        </w:rPr>
        <w:tab/>
      </w:r>
    </w:p>
    <w:p w14:paraId="763EDD85" w14:textId="3D66F35D"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16.2 Economic and financial capacity of candidate:</w:t>
      </w:r>
    </w:p>
    <w:p w14:paraId="64C52E4D" w14:textId="77777777" w:rsidR="005C6B50" w:rsidRPr="009B626E" w:rsidRDefault="005C6B50" w:rsidP="005C6B50">
      <w:pPr>
        <w:pBdr>
          <w:top w:val="nil"/>
          <w:left w:val="nil"/>
          <w:bottom w:val="nil"/>
          <w:right w:val="nil"/>
          <w:between w:val="nil"/>
        </w:pBdr>
        <w:rPr>
          <w:color w:val="000000"/>
          <w:sz w:val="22"/>
          <w:szCs w:val="22"/>
        </w:rPr>
      </w:pPr>
    </w:p>
    <w:p w14:paraId="7B8E366E"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a)</w:t>
      </w:r>
      <w:r w:rsidRPr="009B626E">
        <w:rPr>
          <w:color w:val="000000"/>
          <w:sz w:val="22"/>
          <w:szCs w:val="22"/>
        </w:rPr>
        <w:tab/>
        <w:t>the average annual turnover of the tenderer must exceed the annualised maximum budget of the contract</w:t>
      </w:r>
    </w:p>
    <w:p w14:paraId="19CB20D6"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b)</w:t>
      </w:r>
      <w:r w:rsidRPr="009B626E">
        <w:rPr>
          <w:color w:val="000000"/>
          <w:sz w:val="22"/>
          <w:szCs w:val="22"/>
        </w:rPr>
        <w:tab/>
        <w:t>Tenderer may prove it’s insurance policy potential for the relevant field.</w:t>
      </w:r>
    </w:p>
    <w:p w14:paraId="20B7636C" w14:textId="77777777" w:rsidR="005C6B50" w:rsidRPr="009B626E" w:rsidRDefault="005C6B50" w:rsidP="005C6B50">
      <w:pPr>
        <w:pBdr>
          <w:top w:val="nil"/>
          <w:left w:val="nil"/>
          <w:bottom w:val="nil"/>
          <w:right w:val="nil"/>
          <w:between w:val="nil"/>
        </w:pBdr>
        <w:rPr>
          <w:color w:val="000000"/>
          <w:sz w:val="22"/>
          <w:szCs w:val="22"/>
        </w:rPr>
      </w:pPr>
    </w:p>
    <w:p w14:paraId="366DEA1F" w14:textId="692C91DF"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16.3 Technical and professional capacity of candidate:</w:t>
      </w:r>
    </w:p>
    <w:p w14:paraId="31BB7078"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a)</w:t>
      </w:r>
      <w:r w:rsidRPr="009B626E">
        <w:rPr>
          <w:color w:val="000000"/>
          <w:sz w:val="22"/>
          <w:szCs w:val="22"/>
        </w:rPr>
        <w:tab/>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t>
      </w:r>
      <w:r w:rsidRPr="009B626E">
        <w:rPr>
          <w:color w:val="000000"/>
          <w:sz w:val="22"/>
          <w:szCs w:val="22"/>
        </w:rPr>
        <w:lastRenderedPageBreak/>
        <w:t xml:space="preserve">works, and an indication whether the works were carried out according to the rules of the trade and properly completed. </w:t>
      </w:r>
    </w:p>
    <w:p w14:paraId="7ED670D3"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b)</w:t>
      </w:r>
      <w:r w:rsidRPr="009B626E">
        <w:rPr>
          <w:color w:val="000000"/>
          <w:sz w:val="22"/>
          <w:szCs w:val="22"/>
        </w:rPr>
        <w:tab/>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03B34891"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c)</w:t>
      </w:r>
      <w:r w:rsidRPr="009B626E">
        <w:rPr>
          <w:color w:val="000000"/>
          <w:sz w:val="22"/>
          <w:szCs w:val="22"/>
        </w:rPr>
        <w:tab/>
        <w:t>a statement by the economic operator concerning tools, plant and technical equipment available to the contractor to perform the contract.</w:t>
      </w:r>
    </w:p>
    <w:p w14:paraId="0FF3842C" w14:textId="77777777" w:rsidR="005C6B50" w:rsidRPr="009B626E" w:rsidRDefault="005C6B50" w:rsidP="005C6B50">
      <w:pPr>
        <w:pBdr>
          <w:top w:val="nil"/>
          <w:left w:val="nil"/>
          <w:bottom w:val="nil"/>
          <w:right w:val="nil"/>
          <w:between w:val="nil"/>
        </w:pBdr>
        <w:rPr>
          <w:color w:val="000000"/>
          <w:sz w:val="22"/>
          <w:szCs w:val="22"/>
        </w:rPr>
      </w:pPr>
    </w:p>
    <w:p w14:paraId="0C2246E2" w14:textId="77777777" w:rsidR="005C6B50" w:rsidRPr="009B626E" w:rsidRDefault="005C6B50" w:rsidP="005C6B50">
      <w:pPr>
        <w:pBdr>
          <w:top w:val="nil"/>
          <w:left w:val="nil"/>
          <w:bottom w:val="nil"/>
          <w:right w:val="nil"/>
          <w:between w:val="nil"/>
        </w:pBdr>
        <w:rPr>
          <w:color w:val="000000"/>
          <w:sz w:val="22"/>
          <w:szCs w:val="22"/>
        </w:rPr>
      </w:pPr>
    </w:p>
    <w:p w14:paraId="19C5E1A4" w14:textId="705894A6"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16.4</w:t>
      </w:r>
      <w:r w:rsidRPr="009B626E">
        <w:rPr>
          <w:color w:val="000000"/>
          <w:sz w:val="22"/>
          <w:szCs w:val="22"/>
        </w:rPr>
        <w:tab/>
        <w:t>Capacity-providing entities:</w:t>
      </w:r>
    </w:p>
    <w:p w14:paraId="576E1CEE"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 xml:space="preserve">An economic operator may, where appropriate and for a particular contract, rely on the capacity of other entities, regardless of the legal nature of the links which it has with them. Some examples of when it may not 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 commitment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14:paraId="3658B3D3"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With regard to technical and professional criteria, a tenderer may only rely on the capacities of other entities where the latter will perform the works for which these capacities are required.</w:t>
      </w:r>
    </w:p>
    <w:p w14:paraId="03F76592"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With regard to economic and financial criteria, the entities upon whose capacity the tenderer relies, become jointly and severally liable for the performance of the contract.</w:t>
      </w:r>
    </w:p>
    <w:p w14:paraId="1CC7EE6D" w14:textId="77777777" w:rsidR="005C6B50" w:rsidRPr="009B626E" w:rsidRDefault="005C6B50" w:rsidP="005C6B50">
      <w:pPr>
        <w:pBdr>
          <w:top w:val="nil"/>
          <w:left w:val="nil"/>
          <w:bottom w:val="nil"/>
          <w:right w:val="nil"/>
          <w:between w:val="nil"/>
        </w:pBdr>
        <w:rPr>
          <w:color w:val="000000"/>
          <w:sz w:val="22"/>
          <w:szCs w:val="22"/>
        </w:rPr>
      </w:pPr>
    </w:p>
    <w:p w14:paraId="4D52C2E7" w14:textId="0C9CBD05"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16.5</w:t>
      </w:r>
      <w:r w:rsidRPr="009B626E">
        <w:rPr>
          <w:color w:val="000000"/>
          <w:sz w:val="22"/>
          <w:szCs w:val="22"/>
        </w:rPr>
        <w:tab/>
        <w:t>Tenders submitted by companies in partnerships forming a joint venture/consortium must also fulfil the following requirements:</w:t>
      </w:r>
    </w:p>
    <w:p w14:paraId="7B0C00E4"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w:t>
      </w:r>
      <w:r w:rsidRPr="009B626E">
        <w:rPr>
          <w:color w:val="000000"/>
          <w:sz w:val="22"/>
          <w:szCs w:val="22"/>
        </w:rPr>
        <w:tab/>
        <w:t>The tender must include all the information required in 12.1 above for each member of the joint venture/consortium and summary data for execution of works by the tenderer.</w:t>
      </w:r>
    </w:p>
    <w:p w14:paraId="168B1707" w14:textId="77777777"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w:t>
      </w:r>
      <w:r w:rsidRPr="009B626E">
        <w:rPr>
          <w:color w:val="000000"/>
          <w:sz w:val="22"/>
          <w:szCs w:val="22"/>
        </w:rPr>
        <w:tab/>
        <w:t xml:space="preserve">The tender must be signed in a way that legally binds all members. One member must be appointed lead member and that appointment confirmed by submission of powers of attorney signed by legally empowered signatories representing all members. </w:t>
      </w:r>
    </w:p>
    <w:p w14:paraId="00849261" w14:textId="70FF261B" w:rsidR="005C6B50" w:rsidRPr="009B626E" w:rsidRDefault="005C6B50" w:rsidP="005C6B50">
      <w:pPr>
        <w:pBdr>
          <w:top w:val="nil"/>
          <w:left w:val="nil"/>
          <w:bottom w:val="nil"/>
          <w:right w:val="nil"/>
          <w:between w:val="nil"/>
        </w:pBdr>
        <w:rPr>
          <w:color w:val="000000"/>
          <w:sz w:val="22"/>
          <w:szCs w:val="22"/>
        </w:rPr>
      </w:pPr>
      <w:r w:rsidRPr="009B626E">
        <w:rPr>
          <w:color w:val="000000"/>
          <w:sz w:val="22"/>
          <w:szCs w:val="22"/>
        </w:rPr>
        <w:t>●</w:t>
      </w:r>
      <w:r w:rsidRPr="009B626E">
        <w:rPr>
          <w:color w:val="000000"/>
          <w:sz w:val="22"/>
          <w:szCs w:val="22"/>
        </w:rPr>
        <w:tab/>
        <w:t>All members of the joint venture/consortium are bound to remain in the joint venture/consortium for the whole execution period of the contract. See the declaration in the tender form.</w:t>
      </w:r>
    </w:p>
    <w:p w14:paraId="281E8D5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Award criteria</w:t>
      </w:r>
    </w:p>
    <w:p w14:paraId="37205356" w14:textId="50DB0832" w:rsidR="007560A9" w:rsidRDefault="00844BF7">
      <w:pPr>
        <w:ind w:left="720"/>
        <w:rPr>
          <w:sz w:val="22"/>
          <w:szCs w:val="22"/>
        </w:rPr>
      </w:pPr>
      <w:r w:rsidRPr="00EA0145">
        <w:rPr>
          <w:sz w:val="22"/>
          <w:szCs w:val="22"/>
        </w:rPr>
        <w:t>The most economically advantageous tender is the technically compliant tender with the lowest price.</w:t>
      </w:r>
    </w:p>
    <w:p w14:paraId="422C3E58" w14:textId="09B406D3" w:rsidR="007560A9" w:rsidRDefault="007560A9">
      <w:pPr>
        <w:widowControl/>
        <w:spacing w:before="0" w:after="120"/>
        <w:ind w:left="720"/>
        <w:jc w:val="both"/>
        <w:rPr>
          <w:sz w:val="22"/>
          <w:szCs w:val="22"/>
        </w:rPr>
      </w:pPr>
    </w:p>
    <w:p w14:paraId="5A7684EC" w14:textId="5285E7C8" w:rsidR="001716D0" w:rsidRDefault="001716D0">
      <w:pPr>
        <w:widowControl/>
        <w:spacing w:before="0" w:after="120"/>
        <w:ind w:left="720"/>
        <w:jc w:val="both"/>
        <w:rPr>
          <w:sz w:val="22"/>
          <w:szCs w:val="22"/>
        </w:rPr>
      </w:pPr>
    </w:p>
    <w:p w14:paraId="36609A86" w14:textId="77777777" w:rsidR="007560A9" w:rsidRDefault="00844BF7">
      <w:pPr>
        <w:rPr>
          <w:sz w:val="22"/>
          <w:szCs w:val="22"/>
        </w:rPr>
      </w:pPr>
      <w:r>
        <w:rPr>
          <w:noProof/>
          <w:lang w:val="bs-Latn-BA" w:eastAsia="bs-Latn-BA"/>
        </w:rPr>
        <w:lastRenderedPageBreak/>
        <mc:AlternateContent>
          <mc:Choice Requires="wps">
            <w:drawing>
              <wp:anchor distT="0" distB="0" distL="114300" distR="114300" simplePos="0" relativeHeight="251662336" behindDoc="0" locked="0" layoutInCell="1" hidden="0" allowOverlap="1" wp14:anchorId="7706E3BC" wp14:editId="5E5B8813">
                <wp:simplePos x="0" y="0"/>
                <wp:positionH relativeFrom="margin">
                  <wp:posOffset>114300</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64978CB8" id="Straight Arrow Connector 1" o:spid="_x0000_s1026" type="#_x0000_t32" style="position:absolute;margin-left:9pt;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3314D761" w14:textId="77777777" w:rsidR="007560A9" w:rsidRDefault="00844BF7">
      <w:pPr>
        <w:ind w:left="360"/>
        <w:jc w:val="center"/>
        <w:rPr>
          <w:b/>
          <w:sz w:val="22"/>
          <w:szCs w:val="22"/>
        </w:rPr>
      </w:pPr>
      <w:r>
        <w:rPr>
          <w:b/>
          <w:sz w:val="22"/>
          <w:szCs w:val="22"/>
        </w:rPr>
        <w:t>TENDERING</w:t>
      </w:r>
    </w:p>
    <w:p w14:paraId="41976FC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How to obtain the tender dossier</w:t>
      </w:r>
    </w:p>
    <w:p w14:paraId="454D250E" w14:textId="77777777" w:rsidR="007649C6" w:rsidRDefault="00844BF7" w:rsidP="007649C6">
      <w:pPr>
        <w:ind w:left="706"/>
        <w:contextualSpacing/>
        <w:rPr>
          <w:sz w:val="22"/>
          <w:szCs w:val="22"/>
        </w:rPr>
      </w:pPr>
      <w:r>
        <w:rPr>
          <w:sz w:val="22"/>
          <w:szCs w:val="22"/>
        </w:rPr>
        <w:t xml:space="preserve">The tender dossier is available the following Internet address: </w:t>
      </w:r>
    </w:p>
    <w:p w14:paraId="37F7CB77" w14:textId="77777777" w:rsidR="007649C6" w:rsidRDefault="00000000" w:rsidP="007649C6">
      <w:pPr>
        <w:ind w:left="706"/>
        <w:contextualSpacing/>
      </w:pPr>
      <w:hyperlink r:id="rId8" w:history="1">
        <w:r w:rsidR="007649C6" w:rsidRPr="001117EE">
          <w:rPr>
            <w:rStyle w:val="Hyperlink"/>
          </w:rPr>
          <w:t>www.mostar.ba</w:t>
        </w:r>
      </w:hyperlink>
      <w:r w:rsidR="000E2F45" w:rsidRPr="007649C6">
        <w:rPr>
          <w:rStyle w:val="Hyperlink"/>
        </w:rPr>
        <w:t xml:space="preserve">; </w:t>
      </w:r>
      <w:r w:rsidR="009B626E" w:rsidRPr="007649C6">
        <w:t xml:space="preserve"> </w:t>
      </w:r>
    </w:p>
    <w:p w14:paraId="433B7FE7" w14:textId="77777777" w:rsidR="007649C6" w:rsidRDefault="00000000" w:rsidP="007649C6">
      <w:pPr>
        <w:ind w:left="706"/>
        <w:contextualSpacing/>
      </w:pPr>
      <w:hyperlink r:id="rId9" w:history="1">
        <w:r w:rsidR="007649C6" w:rsidRPr="001117EE">
          <w:rPr>
            <w:rStyle w:val="Hyperlink"/>
          </w:rPr>
          <w:t>http://www.sluzbenilist.ba/</w:t>
        </w:r>
      </w:hyperlink>
      <w:r w:rsidR="007649C6">
        <w:t xml:space="preserve">; </w:t>
      </w:r>
    </w:p>
    <w:p w14:paraId="138C659E" w14:textId="1B18B388" w:rsidR="00EA0145" w:rsidRDefault="00000000" w:rsidP="007649C6">
      <w:pPr>
        <w:ind w:left="706"/>
        <w:contextualSpacing/>
        <w:rPr>
          <w:sz w:val="22"/>
          <w:szCs w:val="22"/>
        </w:rPr>
      </w:pPr>
      <w:hyperlink r:id="rId10" w:history="1">
        <w:r w:rsidR="007649C6" w:rsidRPr="001117EE">
          <w:rPr>
            <w:rStyle w:val="Hyperlink"/>
          </w:rPr>
          <w:t>https://www.interreg-hr-ba-me.eu/for-our-projects/procurement-tenders/</w:t>
        </w:r>
      </w:hyperlink>
      <w:r w:rsidR="007649C6">
        <w:t xml:space="preserve"> </w:t>
      </w:r>
    </w:p>
    <w:p w14:paraId="69A78FA3" w14:textId="14E7D564" w:rsidR="007560A9" w:rsidRDefault="00844BF7">
      <w:pPr>
        <w:ind w:left="709"/>
        <w:jc w:val="both"/>
        <w:rPr>
          <w:sz w:val="22"/>
          <w:szCs w:val="22"/>
        </w:rPr>
      </w:pPr>
      <w:r>
        <w:rPr>
          <w:sz w:val="22"/>
          <w:szCs w:val="22"/>
        </w:rPr>
        <w:t>Tenders must be submitted using the standard tender form included in the tender dossier, whose format and instructions must be strictly observed.</w:t>
      </w:r>
    </w:p>
    <w:p w14:paraId="5C3E4D75" w14:textId="5F4DC337" w:rsidR="007560A9" w:rsidRDefault="00844BF7">
      <w:pPr>
        <w:ind w:left="709"/>
        <w:jc w:val="both"/>
        <w:rPr>
          <w:sz w:val="22"/>
          <w:szCs w:val="22"/>
        </w:rPr>
      </w:pPr>
      <w:bookmarkStart w:id="8" w:name="_3znysh7" w:colFirst="0" w:colLast="0"/>
      <w:bookmarkEnd w:id="8"/>
      <w:r>
        <w:rPr>
          <w:sz w:val="22"/>
          <w:szCs w:val="22"/>
        </w:rPr>
        <w:t xml:space="preserve">Tenderers with questions regarding this tender should send them in writing to </w:t>
      </w:r>
      <w:hyperlink r:id="rId11" w:history="1">
        <w:r w:rsidR="001716D0" w:rsidRPr="002A3E55">
          <w:rPr>
            <w:rStyle w:val="Hyperlink"/>
            <w:sz w:val="22"/>
            <w:szCs w:val="22"/>
          </w:rPr>
          <w:t>mirna.trcalo@mostar.ba</w:t>
        </w:r>
      </w:hyperlink>
      <w:r w:rsidR="001716D0">
        <w:rPr>
          <w:sz w:val="22"/>
          <w:szCs w:val="22"/>
        </w:rPr>
        <w:t xml:space="preserve"> </w:t>
      </w:r>
      <w:r>
        <w:rPr>
          <w:sz w:val="22"/>
          <w:szCs w:val="22"/>
        </w:rPr>
        <w:t xml:space="preserve">(mentioning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 </w:t>
      </w:r>
      <w:hyperlink r:id="rId12" w:history="1">
        <w:r w:rsidR="001716D0" w:rsidRPr="002A3E55">
          <w:rPr>
            <w:rStyle w:val="Hyperlink"/>
            <w:sz w:val="22"/>
            <w:szCs w:val="22"/>
          </w:rPr>
          <w:t>www.mostar.ba</w:t>
        </w:r>
      </w:hyperlink>
      <w:r w:rsidR="001716D0">
        <w:rPr>
          <w:sz w:val="22"/>
          <w:szCs w:val="22"/>
        </w:rPr>
        <w:t xml:space="preserve"> </w:t>
      </w:r>
    </w:p>
    <w:p w14:paraId="5D2E7B4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Deadline for submission of tenders</w:t>
      </w:r>
    </w:p>
    <w:p w14:paraId="77A11BC8" w14:textId="349C5181" w:rsidR="001716D0" w:rsidRPr="009B626E" w:rsidRDefault="001716D0">
      <w:pPr>
        <w:ind w:left="709"/>
        <w:jc w:val="both"/>
        <w:rPr>
          <w:color w:val="FF0000"/>
          <w:sz w:val="22"/>
          <w:szCs w:val="22"/>
          <w:highlight w:val="yellow"/>
        </w:rPr>
      </w:pPr>
      <w:r>
        <w:rPr>
          <w:sz w:val="22"/>
          <w:szCs w:val="22"/>
        </w:rPr>
        <w:t xml:space="preserve">Deadline for submission of tender dossier: </w:t>
      </w:r>
      <w:r w:rsidR="007649C6">
        <w:rPr>
          <w:sz w:val="22"/>
          <w:szCs w:val="22"/>
        </w:rPr>
        <w:t>17.10</w:t>
      </w:r>
      <w:r w:rsidRPr="007649C6">
        <w:rPr>
          <w:sz w:val="22"/>
          <w:szCs w:val="22"/>
        </w:rPr>
        <w:t>.2022. by 11:00</w:t>
      </w:r>
      <w:r w:rsidR="007649C6" w:rsidRPr="007649C6">
        <w:rPr>
          <w:sz w:val="22"/>
          <w:szCs w:val="22"/>
        </w:rPr>
        <w:t>am Central</w:t>
      </w:r>
      <w:r w:rsidRPr="007649C6">
        <w:rPr>
          <w:sz w:val="22"/>
          <w:szCs w:val="22"/>
        </w:rPr>
        <w:t xml:space="preserve"> European Time. </w:t>
      </w:r>
    </w:p>
    <w:p w14:paraId="6687713E" w14:textId="7BB435E8" w:rsidR="007560A9" w:rsidRDefault="00844BF7" w:rsidP="001716D0">
      <w:pPr>
        <w:ind w:firstLine="709"/>
        <w:rPr>
          <w:sz w:val="22"/>
          <w:szCs w:val="22"/>
        </w:rPr>
      </w:pPr>
      <w:r>
        <w:rPr>
          <w:sz w:val="22"/>
          <w:szCs w:val="22"/>
        </w:rPr>
        <w:t>Any tender received by the Contracting Authority after this deadline will not be considered.</w:t>
      </w:r>
    </w:p>
    <w:p w14:paraId="7510466A"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opening session</w:t>
      </w:r>
    </w:p>
    <w:p w14:paraId="25A9EED3" w14:textId="478935EF" w:rsidR="001716D0" w:rsidRDefault="001716D0" w:rsidP="001716D0">
      <w:pPr>
        <w:ind w:left="709"/>
        <w:jc w:val="both"/>
        <w:rPr>
          <w:sz w:val="22"/>
          <w:szCs w:val="22"/>
          <w:highlight w:val="yellow"/>
        </w:rPr>
      </w:pPr>
      <w:r>
        <w:rPr>
          <w:sz w:val="22"/>
          <w:szCs w:val="22"/>
        </w:rPr>
        <w:t xml:space="preserve">Deadline for opening session of tender dossier: </w:t>
      </w:r>
      <w:r w:rsidR="007649C6">
        <w:rPr>
          <w:sz w:val="22"/>
          <w:szCs w:val="22"/>
        </w:rPr>
        <w:t>17.10</w:t>
      </w:r>
      <w:r w:rsidR="007649C6" w:rsidRPr="007649C6">
        <w:rPr>
          <w:sz w:val="22"/>
          <w:szCs w:val="22"/>
        </w:rPr>
        <w:t>.2022. by 1</w:t>
      </w:r>
      <w:r w:rsidR="007649C6">
        <w:rPr>
          <w:sz w:val="22"/>
          <w:szCs w:val="22"/>
        </w:rPr>
        <w:t>2</w:t>
      </w:r>
      <w:r w:rsidR="007649C6" w:rsidRPr="007649C6">
        <w:rPr>
          <w:sz w:val="22"/>
          <w:szCs w:val="22"/>
        </w:rPr>
        <w:t>:00</w:t>
      </w:r>
      <w:r w:rsidR="007649C6">
        <w:rPr>
          <w:sz w:val="22"/>
          <w:szCs w:val="22"/>
        </w:rPr>
        <w:t>p</w:t>
      </w:r>
      <w:r w:rsidR="007649C6" w:rsidRPr="007649C6">
        <w:rPr>
          <w:sz w:val="22"/>
          <w:szCs w:val="22"/>
        </w:rPr>
        <w:t>m Central European Time</w:t>
      </w:r>
      <w:r w:rsidR="007649C6">
        <w:rPr>
          <w:sz w:val="22"/>
          <w:szCs w:val="22"/>
        </w:rPr>
        <w:t>.</w:t>
      </w:r>
    </w:p>
    <w:p w14:paraId="64AA333E" w14:textId="41BD53A5" w:rsidR="007560A9" w:rsidRDefault="00844BF7">
      <w:pPr>
        <w:numPr>
          <w:ilvl w:val="0"/>
          <w:numId w:val="3"/>
        </w:numPr>
        <w:pBdr>
          <w:top w:val="nil"/>
          <w:left w:val="nil"/>
          <w:bottom w:val="nil"/>
          <w:right w:val="nil"/>
          <w:between w:val="nil"/>
        </w:pBdr>
        <w:rPr>
          <w:color w:val="000000"/>
        </w:rPr>
      </w:pPr>
      <w:r>
        <w:rPr>
          <w:b/>
          <w:color w:val="000000"/>
          <w:sz w:val="22"/>
          <w:szCs w:val="22"/>
        </w:rPr>
        <w:t>Language of the procedure</w:t>
      </w:r>
    </w:p>
    <w:p w14:paraId="707CC343" w14:textId="629FD972" w:rsidR="007560A9" w:rsidRDefault="00844BF7">
      <w:pPr>
        <w:ind w:left="709"/>
        <w:rPr>
          <w:sz w:val="22"/>
          <w:szCs w:val="22"/>
        </w:rPr>
      </w:pPr>
      <w:bookmarkStart w:id="9" w:name="_Hlk109330511"/>
      <w:r>
        <w:rPr>
          <w:sz w:val="22"/>
          <w:szCs w:val="22"/>
        </w:rPr>
        <w:t>All written communications for this tender procedure and contract must b</w:t>
      </w:r>
      <w:r w:rsidRPr="001716D0">
        <w:rPr>
          <w:sz w:val="22"/>
          <w:szCs w:val="22"/>
        </w:rPr>
        <w:t xml:space="preserve">e </w:t>
      </w:r>
      <w:r w:rsidR="005434FB" w:rsidRPr="001716D0">
        <w:rPr>
          <w:sz w:val="22"/>
          <w:szCs w:val="22"/>
        </w:rPr>
        <w:t xml:space="preserve">in Programme participating countries languages </w:t>
      </w:r>
      <w:r w:rsidR="001716D0" w:rsidRPr="001716D0">
        <w:rPr>
          <w:sz w:val="22"/>
          <w:szCs w:val="22"/>
        </w:rPr>
        <w:t xml:space="preserve">(BiH languages) </w:t>
      </w:r>
      <w:r w:rsidR="005434FB" w:rsidRPr="001716D0">
        <w:rPr>
          <w:sz w:val="22"/>
          <w:szCs w:val="22"/>
        </w:rPr>
        <w:t>and Latin letter only.</w:t>
      </w:r>
    </w:p>
    <w:bookmarkEnd w:id="9"/>
    <w:p w14:paraId="7D5BD733"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Repetition of similar works</w:t>
      </w:r>
    </w:p>
    <w:p w14:paraId="475BB517" w14:textId="33499B17" w:rsidR="007560A9" w:rsidRDefault="00844BF7">
      <w:pPr>
        <w:keepNext/>
        <w:widowControl/>
        <w:pBdr>
          <w:top w:val="nil"/>
          <w:left w:val="nil"/>
          <w:bottom w:val="nil"/>
          <w:right w:val="nil"/>
          <w:between w:val="nil"/>
        </w:pBdr>
        <w:ind w:left="720"/>
        <w:jc w:val="both"/>
        <w:rPr>
          <w:color w:val="000000"/>
          <w:sz w:val="22"/>
          <w:szCs w:val="22"/>
        </w:rPr>
      </w:pPr>
      <w:r>
        <w:rPr>
          <w:color w:val="000000"/>
          <w:sz w:val="22"/>
          <w:szCs w:val="22"/>
        </w:rPr>
        <w:t xml:space="preserve">Subsequent to the initial contract resulting from the current tender procedure, new works consisting in the repetition of similar works, up to the estimated amount </w:t>
      </w:r>
      <w:r w:rsidRPr="00E14D78">
        <w:rPr>
          <w:color w:val="000000"/>
          <w:sz w:val="22"/>
          <w:szCs w:val="22"/>
        </w:rPr>
        <w:t>of not more than 30% of the contract value</w:t>
      </w:r>
      <w:r w:rsidR="00E14D78" w:rsidRPr="00E14D78">
        <w:rPr>
          <w:color w:val="000000"/>
          <w:sz w:val="22"/>
          <w:szCs w:val="22"/>
        </w:rPr>
        <w:t>,</w:t>
      </w:r>
      <w:r w:rsidRPr="00E14D78">
        <w:rPr>
          <w:color w:val="000000"/>
          <w:sz w:val="22"/>
          <w:szCs w:val="22"/>
        </w:rPr>
        <w:t xml:space="preserve"> may be entrusted to the initial contractor by negotiated procedure without prior publication of a contract notice, provided the new works are in conformity</w:t>
      </w:r>
      <w:r>
        <w:rPr>
          <w:color w:val="000000"/>
          <w:sz w:val="22"/>
          <w:szCs w:val="22"/>
        </w:rPr>
        <w:t xml:space="preserve"> with the same basic project. </w:t>
      </w:r>
    </w:p>
    <w:p w14:paraId="243F0D0C"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Legal basis</w:t>
      </w:r>
      <w:r>
        <w:rPr>
          <w:b/>
          <w:color w:val="000000"/>
          <w:sz w:val="22"/>
          <w:szCs w:val="22"/>
          <w:vertAlign w:val="superscript"/>
        </w:rPr>
        <w:footnoteReference w:id="1"/>
      </w:r>
    </w:p>
    <w:p w14:paraId="781B83C7" w14:textId="1D82F8D3" w:rsidR="007560A9" w:rsidRDefault="00844BF7">
      <w:pPr>
        <w:ind w:left="709"/>
        <w:jc w:val="both"/>
        <w:rPr>
          <w:sz w:val="22"/>
          <w:szCs w:val="22"/>
        </w:rPr>
      </w:pPr>
      <w:r w:rsidRPr="002C0AC4">
        <w:rPr>
          <w:sz w:val="22"/>
          <w:szCs w:val="22"/>
        </w:rPr>
        <w:t xml:space="preserve">Regulation (EU) N°236/2014 of the European Parliament and of the Council of 11 March 2014 laying down common rules and procedures for the implementation of the Union's instruments for financing external action, Regulation (EU) No 231/2014 of the European Parliament and of the Council of 11 March 2014 establishing an Instrument for Pre-accession Assistance (IPA II), </w:t>
      </w:r>
      <w:r w:rsidRPr="001716D0">
        <w:rPr>
          <w:sz w:val="22"/>
          <w:szCs w:val="22"/>
        </w:rPr>
        <w:t>The Interreg IPA Cross-border Cooperation</w:t>
      </w:r>
      <w:r w:rsidR="00AD735D" w:rsidRPr="001716D0">
        <w:rPr>
          <w:sz w:val="22"/>
          <w:szCs w:val="22"/>
        </w:rPr>
        <w:t xml:space="preserve"> </w:t>
      </w:r>
      <w:r w:rsidRPr="001716D0">
        <w:rPr>
          <w:sz w:val="22"/>
          <w:szCs w:val="22"/>
        </w:rPr>
        <w:t>Programme Croatia-</w:t>
      </w:r>
      <w:r w:rsidR="00EC7004" w:rsidRPr="001716D0">
        <w:rPr>
          <w:sz w:val="22"/>
          <w:szCs w:val="22"/>
        </w:rPr>
        <w:t>Bosnia and Herzegovina - Montenegro</w:t>
      </w:r>
      <w:r w:rsidRPr="001716D0">
        <w:rPr>
          <w:sz w:val="22"/>
          <w:szCs w:val="22"/>
        </w:rPr>
        <w:t xml:space="preserve"> 2014-2020</w:t>
      </w:r>
      <w:r w:rsidR="005434FB" w:rsidRPr="001716D0">
        <w:rPr>
          <w:sz w:val="22"/>
          <w:szCs w:val="22"/>
        </w:rPr>
        <w:t xml:space="preserve">. </w:t>
      </w:r>
    </w:p>
    <w:sectPr w:rsidR="007560A9">
      <w:headerReference w:type="default" r:id="rId13"/>
      <w:footerReference w:type="default" r:id="rId14"/>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69E09" w14:textId="77777777" w:rsidR="007D72FB" w:rsidRDefault="007D72FB">
      <w:pPr>
        <w:spacing w:before="0" w:after="0"/>
      </w:pPr>
      <w:r>
        <w:separator/>
      </w:r>
    </w:p>
  </w:endnote>
  <w:endnote w:type="continuationSeparator" w:id="0">
    <w:p w14:paraId="05C8E076" w14:textId="77777777" w:rsidR="007D72FB" w:rsidRDefault="007D72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7AD6" w14:textId="69D9F477"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B2047">
      <w:rPr>
        <w:noProof/>
        <w:color w:val="000000"/>
        <w:sz w:val="18"/>
        <w:szCs w:val="18"/>
      </w:rPr>
      <w:t>6</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B2047">
      <w:rPr>
        <w:noProof/>
        <w:color w:val="000000"/>
        <w:sz w:val="18"/>
        <w:szCs w:val="18"/>
      </w:rPr>
      <w:t>6</w:t>
    </w:r>
    <w:r>
      <w:rPr>
        <w:color w:val="000000"/>
        <w:sz w:val="18"/>
        <w:szCs w:val="18"/>
      </w:rPr>
      <w:fldChar w:fldCharType="end"/>
    </w:r>
  </w:p>
  <w:p w14:paraId="3A522395"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7EB70" w14:textId="77777777" w:rsidR="007D72FB" w:rsidRDefault="007D72FB">
      <w:pPr>
        <w:spacing w:before="0" w:after="0"/>
      </w:pPr>
      <w:r>
        <w:separator/>
      </w:r>
    </w:p>
  </w:footnote>
  <w:footnote w:type="continuationSeparator" w:id="0">
    <w:p w14:paraId="3CB97C57" w14:textId="77777777" w:rsidR="007D72FB" w:rsidRDefault="007D72FB">
      <w:pPr>
        <w:spacing w:before="0" w:after="0"/>
      </w:pPr>
      <w:r>
        <w:continuationSeparator/>
      </w:r>
    </w:p>
  </w:footnote>
  <w:footnote w:id="1">
    <w:p w14:paraId="2AEE8758"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A9F72" w14:textId="5D404CB4" w:rsidR="00C12EAB" w:rsidRDefault="00C12EAB" w:rsidP="00C12EAB">
    <w:pPr>
      <w:rPr>
        <w:b/>
        <w:bCs/>
        <w:sz w:val="20"/>
        <w:szCs w:val="20"/>
      </w:rPr>
    </w:pPr>
    <w:r w:rsidRPr="00AA5131">
      <w:rPr>
        <w:noProof/>
        <w:lang w:val="bs-Latn-BA" w:eastAsia="bs-Latn-BA"/>
      </w:rPr>
      <w:drawing>
        <wp:inline distT="0" distB="0" distL="0" distR="0" wp14:anchorId="780E17F9" wp14:editId="34E200AA">
          <wp:extent cx="3390900" cy="876300"/>
          <wp:effectExtent l="0" t="0" r="0" b="0"/>
          <wp:docPr id="6" name="Picture 6"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3"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988824568">
    <w:abstractNumId w:val="1"/>
  </w:num>
  <w:num w:numId="2" w16cid:durableId="1734811671">
    <w:abstractNumId w:val="3"/>
  </w:num>
  <w:num w:numId="3" w16cid:durableId="616528383">
    <w:abstractNumId w:val="2"/>
  </w:num>
  <w:num w:numId="4" w16cid:durableId="1827936377">
    <w:abstractNumId w:val="4"/>
  </w:num>
  <w:num w:numId="5" w16cid:durableId="781805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0A9"/>
    <w:rsid w:val="000C00E5"/>
    <w:rsid w:val="000E2F45"/>
    <w:rsid w:val="00110653"/>
    <w:rsid w:val="001716D0"/>
    <w:rsid w:val="001878E6"/>
    <w:rsid w:val="00272112"/>
    <w:rsid w:val="002A29E3"/>
    <w:rsid w:val="002B718B"/>
    <w:rsid w:val="002B75C3"/>
    <w:rsid w:val="002C0AC4"/>
    <w:rsid w:val="003A4172"/>
    <w:rsid w:val="003C34F2"/>
    <w:rsid w:val="00483114"/>
    <w:rsid w:val="004C39D9"/>
    <w:rsid w:val="004D2D5B"/>
    <w:rsid w:val="004F67EF"/>
    <w:rsid w:val="00503900"/>
    <w:rsid w:val="005434FB"/>
    <w:rsid w:val="005C5330"/>
    <w:rsid w:val="005C6B50"/>
    <w:rsid w:val="00614C57"/>
    <w:rsid w:val="00652A83"/>
    <w:rsid w:val="00676173"/>
    <w:rsid w:val="006B2047"/>
    <w:rsid w:val="006C3AFD"/>
    <w:rsid w:val="006D4538"/>
    <w:rsid w:val="00712ED7"/>
    <w:rsid w:val="007560A9"/>
    <w:rsid w:val="007649C6"/>
    <w:rsid w:val="00766E10"/>
    <w:rsid w:val="0077747B"/>
    <w:rsid w:val="007A61B6"/>
    <w:rsid w:val="007C0D1C"/>
    <w:rsid w:val="007D72FB"/>
    <w:rsid w:val="00844BF7"/>
    <w:rsid w:val="00883A19"/>
    <w:rsid w:val="00890A58"/>
    <w:rsid w:val="009808F6"/>
    <w:rsid w:val="009B626E"/>
    <w:rsid w:val="009C6A55"/>
    <w:rsid w:val="00A057C4"/>
    <w:rsid w:val="00A62CA6"/>
    <w:rsid w:val="00AD735D"/>
    <w:rsid w:val="00B40A8A"/>
    <w:rsid w:val="00BB1933"/>
    <w:rsid w:val="00BB7C87"/>
    <w:rsid w:val="00BC2742"/>
    <w:rsid w:val="00C01925"/>
    <w:rsid w:val="00C05D9A"/>
    <w:rsid w:val="00C12EAB"/>
    <w:rsid w:val="00C46045"/>
    <w:rsid w:val="00CE7FCE"/>
    <w:rsid w:val="00D53F27"/>
    <w:rsid w:val="00E14D78"/>
    <w:rsid w:val="00EA0145"/>
    <w:rsid w:val="00EC7004"/>
    <w:rsid w:val="00ED1EFC"/>
    <w:rsid w:val="00ED6095"/>
    <w:rsid w:val="00F75AE2"/>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5AD85"/>
  <w15:docId w15:val="{CD2B8E89-2C00-4683-B852-AA705D7A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 w:type="character" w:styleId="Hyperlink">
    <w:name w:val="Hyperlink"/>
    <w:basedOn w:val="DefaultParagraphFont"/>
    <w:uiPriority w:val="99"/>
    <w:unhideWhenUsed/>
    <w:rsid w:val="00EA0145"/>
    <w:rPr>
      <w:color w:val="0000FF" w:themeColor="hyperlink"/>
      <w:u w:val="single"/>
    </w:rPr>
  </w:style>
  <w:style w:type="character" w:styleId="FollowedHyperlink">
    <w:name w:val="FollowedHyperlink"/>
    <w:basedOn w:val="DefaultParagraphFont"/>
    <w:uiPriority w:val="99"/>
    <w:semiHidden/>
    <w:unhideWhenUsed/>
    <w:rsid w:val="00EA0145"/>
    <w:rPr>
      <w:color w:val="800080" w:themeColor="followedHyperlink"/>
      <w:u w:val="single"/>
    </w:rPr>
  </w:style>
  <w:style w:type="paragraph" w:styleId="ListParagraph">
    <w:name w:val="List Paragraph"/>
    <w:basedOn w:val="Normal"/>
    <w:uiPriority w:val="34"/>
    <w:qFormat/>
    <w:rsid w:val="001716D0"/>
    <w:pPr>
      <w:ind w:left="720"/>
      <w:contextualSpacing/>
    </w:pPr>
  </w:style>
  <w:style w:type="character" w:styleId="UnresolvedMention">
    <w:name w:val="Unresolved Mention"/>
    <w:basedOn w:val="DefaultParagraphFont"/>
    <w:uiPriority w:val="99"/>
    <w:semiHidden/>
    <w:unhideWhenUsed/>
    <w:rsid w:val="009B62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9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ostar.b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ostar.b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rna.trcalo@mostar.b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terreg-hr-ba-me.eu/for-our-projects/procurement-tenders/" TargetMode="External"/><Relationship Id="rId4" Type="http://schemas.openxmlformats.org/officeDocument/2006/relationships/webSettings" Target="webSettings.xml"/><Relationship Id="rId9" Type="http://schemas.openxmlformats.org/officeDocument/2006/relationships/hyperlink" Target="http://www.sluzbenilist.b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HOME</cp:lastModifiedBy>
  <cp:revision>4</cp:revision>
  <dcterms:created xsi:type="dcterms:W3CDTF">2022-09-11T13:12:00Z</dcterms:created>
  <dcterms:modified xsi:type="dcterms:W3CDTF">2022-09-15T17:32:00Z</dcterms:modified>
</cp:coreProperties>
</file>